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10348" w:type="dxa"/>
        <w:tblInd w:w="-601" w:type="dxa"/>
        <w:tblLook w:val="0000"/>
      </w:tblPr>
      <w:tblGrid>
        <w:gridCol w:w="10348"/>
      </w:tblGrid>
      <w:tr w:rsidR="008B77A6">
        <w:trPr>
          <w:trHeight w:val="1335"/>
        </w:trPr>
        <w:tc>
          <w:tcPr>
            <w:tcW w:w="10348" w:type="dxa"/>
            <w:tcBorders>
              <w:top w:val="single" w:sz="4" w:space="0" w:color="000000"/>
              <w:left w:val="single" w:sz="4" w:space="0" w:color="000000"/>
              <w:bottom w:val="single" w:sz="20" w:space="0" w:color="000000"/>
              <w:right w:val="single" w:sz="20" w:space="0" w:color="000000"/>
            </w:tcBorders>
            <w:shd w:val="clear" w:color="auto" w:fill="E5E5E5"/>
          </w:tcPr>
          <w:p w:rsidR="008B77A6" w:rsidRDefault="00B6741B">
            <w:pPr>
              <w:snapToGrid w:val="0"/>
              <w:jc w:val="center"/>
              <w:rPr>
                <w:b/>
                <w:spacing w:val="40"/>
                <w:sz w:val="56"/>
                <w:szCs w:val="56"/>
              </w:rPr>
            </w:pPr>
            <w:r>
              <w:rPr>
                <w:b/>
                <w:spacing w:val="40"/>
                <w:sz w:val="56"/>
                <w:szCs w:val="56"/>
              </w:rPr>
              <w:t>Ε.Μ.Δ.Υ.Δ.Α.Σ.</w:t>
            </w:r>
          </w:p>
          <w:p w:rsidR="008B77A6" w:rsidRDefault="00B6741B">
            <w:pPr>
              <w:pStyle w:val="Heading1"/>
              <w:numPr>
                <w:ilvl w:val="0"/>
                <w:numId w:val="2"/>
              </w:numPr>
              <w:tabs>
                <w:tab w:val="left" w:pos="0"/>
              </w:tabs>
              <w:suppressAutoHyphens/>
              <w:jc w:val="center"/>
              <w:rPr>
                <w:sz w:val="32"/>
                <w:szCs w:val="32"/>
              </w:rPr>
            </w:pPr>
            <w:r>
              <w:rPr>
                <w:sz w:val="32"/>
                <w:szCs w:val="32"/>
              </w:rPr>
              <w:t>ΚΕΝΤΡΙΚΗΣ &amp;ΔΥΤΙΚΗΣ ΘΕΣΣΑΛΙΑΣ</w:t>
            </w:r>
          </w:p>
          <w:p w:rsidR="008B77A6" w:rsidRDefault="008B77A6">
            <w:pPr>
              <w:jc w:val="both"/>
              <w:rPr>
                <w:b/>
                <w:spacing w:val="40"/>
                <w:sz w:val="16"/>
              </w:rPr>
            </w:pPr>
          </w:p>
          <w:p w:rsidR="008B77A6" w:rsidRDefault="00B6741B">
            <w:pPr>
              <w:pStyle w:val="Default"/>
              <w:jc w:val="both"/>
              <w:rPr>
                <w:rFonts w:cs="Times New Roman"/>
                <w:color w:val="auto"/>
              </w:rPr>
            </w:pPr>
            <w:r>
              <w:t>Ε</w:t>
            </w:r>
            <w:r>
              <w:rPr>
                <w:b/>
                <w:bCs/>
                <w:sz w:val="20"/>
                <w:szCs w:val="20"/>
              </w:rPr>
              <w:t xml:space="preserve">ΝΩΣΗ </w:t>
            </w:r>
            <w:r>
              <w:t>Μ</w:t>
            </w:r>
            <w:r>
              <w:rPr>
                <w:b/>
                <w:bCs/>
                <w:sz w:val="20"/>
                <w:szCs w:val="20"/>
              </w:rPr>
              <w:t xml:space="preserve">ΗΧΑΝΙΚΩΝ </w:t>
            </w:r>
            <w:r>
              <w:t>Δ</w:t>
            </w:r>
            <w:r>
              <w:rPr>
                <w:b/>
                <w:bCs/>
                <w:sz w:val="20"/>
                <w:szCs w:val="20"/>
              </w:rPr>
              <w:t xml:space="preserve">ΗΜΟΣΙΩΝ </w:t>
            </w:r>
            <w:r>
              <w:t>Υ</w:t>
            </w:r>
            <w:r>
              <w:rPr>
                <w:b/>
                <w:bCs/>
                <w:sz w:val="20"/>
                <w:szCs w:val="20"/>
              </w:rPr>
              <w:t xml:space="preserve">ΠΑΛΛΗΛΩΝ </w:t>
            </w:r>
            <w:r>
              <w:t>Δ</w:t>
            </w:r>
            <w:r>
              <w:rPr>
                <w:b/>
                <w:bCs/>
                <w:sz w:val="20"/>
                <w:szCs w:val="20"/>
              </w:rPr>
              <w:t>ΙΠΛΩΜΑΤΟΥΧΩΝ</w:t>
            </w:r>
            <w:r>
              <w:rPr>
                <w:sz w:val="20"/>
                <w:szCs w:val="20"/>
              </w:rPr>
              <w:t xml:space="preserve"> </w:t>
            </w:r>
            <w:r>
              <w:t>Α</w:t>
            </w:r>
            <w:r>
              <w:rPr>
                <w:b/>
                <w:bCs/>
                <w:sz w:val="20"/>
                <w:szCs w:val="20"/>
              </w:rPr>
              <w:t xml:space="preserve">ΝΩΤΑΤΩΝ </w:t>
            </w:r>
            <w:r>
              <w:t>Σ</w:t>
            </w:r>
            <w:r>
              <w:rPr>
                <w:b/>
                <w:bCs/>
                <w:sz w:val="20"/>
                <w:szCs w:val="20"/>
              </w:rPr>
              <w:t>ΧΟΛΩΝ</w:t>
            </w:r>
          </w:p>
          <w:p w:rsidR="008B77A6" w:rsidRDefault="008B77A6">
            <w:pPr>
              <w:pStyle w:val="Heading4"/>
              <w:numPr>
                <w:ilvl w:val="3"/>
                <w:numId w:val="1"/>
              </w:numPr>
              <w:jc w:val="both"/>
              <w:rPr>
                <w:b w:val="0"/>
                <w:sz w:val="22"/>
                <w:szCs w:val="22"/>
              </w:rPr>
            </w:pPr>
          </w:p>
        </w:tc>
      </w:tr>
    </w:tbl>
    <w:p w:rsidR="008B77A6" w:rsidRDefault="00B6741B">
      <w:pPr>
        <w:tabs>
          <w:tab w:val="left" w:pos="709"/>
          <w:tab w:val="left" w:pos="2552"/>
          <w:tab w:val="left" w:pos="4395"/>
          <w:tab w:val="left" w:pos="6804"/>
        </w:tabs>
        <w:spacing w:before="40" w:after="40"/>
        <w:jc w:val="both"/>
        <w:rPr>
          <w:rFonts w:ascii="Tahoma" w:hAnsi="Tahoma" w:cs="Tahoma"/>
          <w:b/>
          <w:sz w:val="22"/>
          <w:szCs w:val="22"/>
        </w:rPr>
      </w:pPr>
      <w:r>
        <w:rPr>
          <w:rFonts w:ascii="Tahoma" w:hAnsi="Tahoma" w:cs="Tahoma"/>
          <w:b/>
          <w:sz w:val="22"/>
          <w:szCs w:val="22"/>
        </w:rPr>
        <w:t>Γραφεία ΤΕΕ - Καλλιθέας 7, Λάρισα</w:t>
      </w:r>
    </w:p>
    <w:p w:rsidR="008B77A6" w:rsidRDefault="00B6741B">
      <w:pPr>
        <w:tabs>
          <w:tab w:val="left" w:pos="709"/>
          <w:tab w:val="left" w:pos="2552"/>
          <w:tab w:val="left" w:pos="4395"/>
          <w:tab w:val="left" w:pos="6804"/>
        </w:tabs>
        <w:spacing w:before="40" w:after="40"/>
        <w:jc w:val="both"/>
      </w:pPr>
      <w:r>
        <w:rPr>
          <w:rFonts w:ascii="Tahoma" w:hAnsi="Tahoma" w:cs="Tahoma"/>
          <w:b/>
          <w:sz w:val="22"/>
          <w:szCs w:val="22"/>
          <w:lang w:val="en-US"/>
        </w:rPr>
        <w:t>e</w:t>
      </w:r>
      <w:r w:rsidRPr="0089328D">
        <w:rPr>
          <w:rFonts w:ascii="Tahoma" w:hAnsi="Tahoma" w:cs="Tahoma"/>
          <w:b/>
          <w:sz w:val="22"/>
          <w:szCs w:val="22"/>
        </w:rPr>
        <w:t>-</w:t>
      </w:r>
      <w:r>
        <w:rPr>
          <w:rFonts w:ascii="Tahoma" w:hAnsi="Tahoma" w:cs="Tahoma"/>
          <w:b/>
          <w:sz w:val="22"/>
          <w:szCs w:val="22"/>
          <w:lang w:val="en-US"/>
        </w:rPr>
        <w:t>mail</w:t>
      </w:r>
      <w:r w:rsidRPr="0089328D">
        <w:rPr>
          <w:rFonts w:ascii="Tahoma" w:hAnsi="Tahoma" w:cs="Tahoma"/>
          <w:b/>
          <w:sz w:val="22"/>
          <w:szCs w:val="22"/>
        </w:rPr>
        <w:t xml:space="preserve">: </w:t>
      </w:r>
      <w:hyperlink r:id="rId7">
        <w:r>
          <w:rPr>
            <w:rStyle w:val="a4"/>
            <w:rFonts w:ascii="Tahoma" w:hAnsi="Tahoma" w:cs="Tahoma"/>
            <w:b/>
            <w:sz w:val="22"/>
            <w:szCs w:val="22"/>
            <w:lang w:val="en-US"/>
          </w:rPr>
          <w:t>emdydas</w:t>
        </w:r>
        <w:r w:rsidRPr="0089328D">
          <w:rPr>
            <w:rStyle w:val="a4"/>
            <w:rFonts w:ascii="Tahoma" w:hAnsi="Tahoma" w:cs="Tahoma"/>
            <w:b/>
            <w:sz w:val="22"/>
            <w:szCs w:val="22"/>
          </w:rPr>
          <w:t>.</w:t>
        </w:r>
        <w:r>
          <w:rPr>
            <w:rStyle w:val="a4"/>
            <w:rFonts w:ascii="Tahoma" w:hAnsi="Tahoma" w:cs="Tahoma"/>
            <w:b/>
            <w:sz w:val="22"/>
            <w:szCs w:val="22"/>
            <w:lang w:val="en-US"/>
          </w:rPr>
          <w:t>kdt</w:t>
        </w:r>
        <w:r w:rsidRPr="0089328D">
          <w:rPr>
            <w:rStyle w:val="a4"/>
            <w:rFonts w:ascii="Tahoma" w:hAnsi="Tahoma" w:cs="Tahoma"/>
            <w:b/>
            <w:sz w:val="22"/>
            <w:szCs w:val="22"/>
          </w:rPr>
          <w:t>@</w:t>
        </w:r>
        <w:r>
          <w:rPr>
            <w:rStyle w:val="a4"/>
            <w:rFonts w:ascii="Tahoma" w:hAnsi="Tahoma" w:cs="Tahoma"/>
            <w:b/>
            <w:sz w:val="22"/>
            <w:szCs w:val="22"/>
            <w:lang w:val="en-US"/>
          </w:rPr>
          <w:t>gmail</w:t>
        </w:r>
        <w:r w:rsidRPr="0089328D">
          <w:rPr>
            <w:rStyle w:val="a4"/>
            <w:rFonts w:ascii="Tahoma" w:hAnsi="Tahoma" w:cs="Tahoma"/>
            <w:b/>
            <w:sz w:val="22"/>
            <w:szCs w:val="22"/>
          </w:rPr>
          <w:t>.</w:t>
        </w:r>
        <w:r>
          <w:rPr>
            <w:rStyle w:val="a4"/>
            <w:rFonts w:ascii="Tahoma" w:hAnsi="Tahoma" w:cs="Tahoma"/>
            <w:b/>
            <w:sz w:val="22"/>
            <w:szCs w:val="22"/>
            <w:lang w:val="en-US"/>
          </w:rPr>
          <w:t>com</w:t>
        </w:r>
      </w:hyperlink>
      <w:r w:rsidRPr="0089328D">
        <w:rPr>
          <w:rFonts w:ascii="Tahoma" w:hAnsi="Tahoma" w:cs="Tahoma"/>
          <w:b/>
          <w:sz w:val="22"/>
          <w:szCs w:val="22"/>
        </w:rPr>
        <w:t xml:space="preserve"> </w:t>
      </w:r>
    </w:p>
    <w:p w:rsidR="008B77A6" w:rsidRPr="0089328D" w:rsidRDefault="008B77A6">
      <w:pPr>
        <w:pStyle w:val="aa"/>
        <w:spacing w:before="120" w:line="360" w:lineRule="auto"/>
        <w:ind w:firstLine="0"/>
        <w:jc w:val="both"/>
        <w:rPr>
          <w:rFonts w:ascii="Tahoma" w:hAnsi="Tahoma" w:cs="Tahoma"/>
          <w:b/>
        </w:rPr>
      </w:pPr>
    </w:p>
    <w:p w:rsidR="008B77A6" w:rsidRDefault="00B6741B">
      <w:pPr>
        <w:pStyle w:val="aa"/>
        <w:spacing w:before="120" w:line="360" w:lineRule="auto"/>
        <w:ind w:firstLine="0"/>
        <w:jc w:val="both"/>
        <w:rPr>
          <w:rFonts w:ascii="Tahoma" w:hAnsi="Tahoma" w:cs="Tahoma"/>
          <w:b/>
          <w:sz w:val="22"/>
          <w:szCs w:val="22"/>
        </w:rPr>
      </w:pPr>
      <w:r>
        <w:rPr>
          <w:rFonts w:ascii="Tahoma" w:hAnsi="Tahoma" w:cs="Tahoma"/>
          <w:b/>
          <w:sz w:val="22"/>
          <w:szCs w:val="22"/>
        </w:rPr>
        <w:t>Λάρισα</w:t>
      </w:r>
      <w:r>
        <w:rPr>
          <w:rFonts w:ascii="Tahoma" w:hAnsi="Tahoma" w:cs="Tahoma"/>
          <w:sz w:val="22"/>
          <w:szCs w:val="22"/>
        </w:rPr>
        <w:t xml:space="preserve">, </w:t>
      </w:r>
      <w:r>
        <w:rPr>
          <w:rFonts w:ascii="Tahoma" w:hAnsi="Tahoma" w:cs="Tahoma"/>
          <w:b/>
          <w:sz w:val="22"/>
          <w:szCs w:val="22"/>
        </w:rPr>
        <w:t>12-04-2024</w:t>
      </w:r>
      <w:r>
        <w:rPr>
          <w:rFonts w:ascii="Tahoma" w:hAnsi="Tahoma" w:cs="Tahoma"/>
          <w:sz w:val="22"/>
          <w:szCs w:val="22"/>
        </w:rPr>
        <w:t xml:space="preserve">                                                           </w:t>
      </w:r>
      <w:r>
        <w:rPr>
          <w:rFonts w:ascii="Tahoma" w:hAnsi="Tahoma" w:cs="Tahoma"/>
          <w:b/>
          <w:sz w:val="22"/>
          <w:szCs w:val="22"/>
        </w:rPr>
        <w:t>Αρ. Πρωτ.:327</w:t>
      </w:r>
    </w:p>
    <w:p w:rsidR="008B77A6" w:rsidRDefault="008B77A6">
      <w:pPr>
        <w:pStyle w:val="aa"/>
        <w:spacing w:before="120" w:line="360" w:lineRule="auto"/>
        <w:ind w:firstLine="0"/>
        <w:jc w:val="both"/>
        <w:rPr>
          <w:rFonts w:ascii="Tahoma" w:hAnsi="Tahoma" w:cs="Tahoma"/>
        </w:rPr>
      </w:pPr>
    </w:p>
    <w:p w:rsidR="008B77A6" w:rsidRDefault="00B6741B">
      <w:pPr>
        <w:tabs>
          <w:tab w:val="left" w:pos="5387"/>
        </w:tabs>
        <w:spacing w:line="360" w:lineRule="auto"/>
        <w:ind w:left="4536" w:right="-1"/>
        <w:jc w:val="both"/>
        <w:rPr>
          <w:rFonts w:ascii="Tahoma" w:hAnsi="Tahoma" w:cs="Tahoma"/>
          <w:b/>
          <w:sz w:val="22"/>
          <w:szCs w:val="22"/>
        </w:rPr>
      </w:pPr>
      <w:r>
        <w:rPr>
          <w:rFonts w:ascii="Tahoma" w:hAnsi="Tahoma" w:cs="Tahoma"/>
          <w:b/>
          <w:sz w:val="22"/>
          <w:szCs w:val="22"/>
          <w:u w:val="single"/>
        </w:rPr>
        <w:t>Προς :</w:t>
      </w:r>
      <w:r>
        <w:rPr>
          <w:rFonts w:ascii="Tahoma" w:hAnsi="Tahoma" w:cs="Tahoma"/>
          <w:b/>
          <w:sz w:val="22"/>
          <w:szCs w:val="22"/>
        </w:rPr>
        <w:t xml:space="preserve"> Δήμο Λαρισαίων</w:t>
      </w:r>
    </w:p>
    <w:p w:rsidR="008B77A6" w:rsidRDefault="008B77A6">
      <w:pPr>
        <w:tabs>
          <w:tab w:val="left" w:pos="5387"/>
        </w:tabs>
        <w:spacing w:line="360" w:lineRule="auto"/>
        <w:ind w:left="4536" w:right="-1" w:hanging="4536"/>
        <w:jc w:val="both"/>
        <w:rPr>
          <w:rFonts w:ascii="Tahoma" w:hAnsi="Tahoma" w:cs="Tahoma"/>
          <w:sz w:val="22"/>
          <w:szCs w:val="22"/>
        </w:rPr>
      </w:pPr>
    </w:p>
    <w:p w:rsidR="008B77A6" w:rsidRDefault="00B6741B">
      <w:pPr>
        <w:tabs>
          <w:tab w:val="left" w:pos="5387"/>
        </w:tabs>
        <w:spacing w:line="360" w:lineRule="auto"/>
        <w:ind w:left="4536" w:right="-1"/>
        <w:jc w:val="both"/>
        <w:rPr>
          <w:rFonts w:ascii="Tahoma" w:hAnsi="Tahoma" w:cs="Tahoma"/>
          <w:b/>
          <w:sz w:val="22"/>
          <w:szCs w:val="22"/>
        </w:rPr>
      </w:pPr>
      <w:r>
        <w:rPr>
          <w:rFonts w:ascii="Tahoma" w:hAnsi="Tahoma" w:cs="Tahoma"/>
          <w:b/>
          <w:sz w:val="22"/>
          <w:szCs w:val="22"/>
        </w:rPr>
        <w:t>Κοιν :</w:t>
      </w:r>
    </w:p>
    <w:p w:rsidR="008B77A6" w:rsidRDefault="00B6741B">
      <w:pPr>
        <w:pStyle w:val="af"/>
        <w:numPr>
          <w:ilvl w:val="0"/>
          <w:numId w:val="3"/>
        </w:numPr>
        <w:tabs>
          <w:tab w:val="left" w:pos="5387"/>
        </w:tabs>
        <w:spacing w:line="360" w:lineRule="auto"/>
        <w:ind w:right="-1"/>
        <w:jc w:val="both"/>
        <w:rPr>
          <w:rFonts w:ascii="Tahoma" w:hAnsi="Tahoma" w:cs="Tahoma"/>
          <w:b/>
          <w:sz w:val="22"/>
          <w:szCs w:val="22"/>
        </w:rPr>
      </w:pPr>
      <w:r>
        <w:rPr>
          <w:rFonts w:ascii="Tahoma" w:hAnsi="Tahoma" w:cs="Tahoma"/>
          <w:b/>
          <w:sz w:val="22"/>
          <w:szCs w:val="22"/>
          <w:lang w:val="en-US"/>
        </w:rPr>
        <w:t>T</w:t>
      </w:r>
      <w:r>
        <w:rPr>
          <w:rFonts w:ascii="Tahoma" w:hAnsi="Tahoma" w:cs="Tahoma"/>
          <w:b/>
          <w:sz w:val="22"/>
          <w:szCs w:val="22"/>
        </w:rPr>
        <w:t>α μέλη μας</w:t>
      </w:r>
    </w:p>
    <w:p w:rsidR="008B77A6" w:rsidRDefault="00B6741B">
      <w:pPr>
        <w:pStyle w:val="af"/>
        <w:numPr>
          <w:ilvl w:val="0"/>
          <w:numId w:val="3"/>
        </w:numPr>
        <w:tabs>
          <w:tab w:val="left" w:pos="5387"/>
        </w:tabs>
        <w:spacing w:line="360" w:lineRule="auto"/>
        <w:ind w:right="-1"/>
        <w:jc w:val="both"/>
        <w:rPr>
          <w:rFonts w:ascii="Tahoma" w:hAnsi="Tahoma" w:cs="Tahoma"/>
          <w:b/>
          <w:sz w:val="22"/>
          <w:szCs w:val="22"/>
        </w:rPr>
      </w:pPr>
      <w:r>
        <w:rPr>
          <w:rFonts w:ascii="Tahoma" w:hAnsi="Tahoma" w:cs="Tahoma"/>
          <w:b/>
          <w:sz w:val="22"/>
          <w:szCs w:val="22"/>
        </w:rPr>
        <w:t>Π.Ο. ΕΜΔΥΔΑΣ</w:t>
      </w:r>
    </w:p>
    <w:p w:rsidR="008B77A6" w:rsidRDefault="00B6741B">
      <w:pPr>
        <w:pStyle w:val="af"/>
        <w:numPr>
          <w:ilvl w:val="0"/>
          <w:numId w:val="3"/>
        </w:numPr>
        <w:tabs>
          <w:tab w:val="left" w:pos="5387"/>
        </w:tabs>
        <w:spacing w:line="360" w:lineRule="auto"/>
        <w:ind w:right="-1"/>
        <w:jc w:val="both"/>
        <w:rPr>
          <w:rFonts w:ascii="Tahoma" w:hAnsi="Tahoma" w:cs="Tahoma"/>
          <w:b/>
          <w:sz w:val="22"/>
          <w:szCs w:val="22"/>
        </w:rPr>
      </w:pPr>
      <w:r>
        <w:rPr>
          <w:rFonts w:ascii="Tahoma" w:hAnsi="Tahoma" w:cs="Tahoma"/>
          <w:b/>
          <w:sz w:val="22"/>
          <w:szCs w:val="22"/>
        </w:rPr>
        <w:t>Πρόεδρο και ΔΕ ΤΕΕ Κεντρ. &amp; Δυτικής Θεσσαλίας</w:t>
      </w:r>
    </w:p>
    <w:p w:rsidR="008B77A6" w:rsidRDefault="008B77A6">
      <w:pPr>
        <w:tabs>
          <w:tab w:val="left" w:pos="5387"/>
        </w:tabs>
        <w:spacing w:line="360" w:lineRule="auto"/>
        <w:ind w:left="5529" w:right="-1" w:hanging="5529"/>
        <w:jc w:val="both"/>
        <w:rPr>
          <w:rFonts w:ascii="Tahoma" w:hAnsi="Tahoma" w:cs="Tahoma"/>
          <w:b/>
          <w:sz w:val="24"/>
        </w:rPr>
      </w:pPr>
    </w:p>
    <w:p w:rsidR="008B77A6" w:rsidRDefault="00B6741B">
      <w:pPr>
        <w:jc w:val="both"/>
      </w:pPr>
      <w:r>
        <w:rPr>
          <w:rFonts w:ascii="Tahoma" w:hAnsi="Tahoma" w:cs="Tahoma"/>
          <w:b/>
          <w:sz w:val="24"/>
          <w:szCs w:val="24"/>
        </w:rPr>
        <w:t xml:space="preserve">Θέμα : </w:t>
      </w:r>
      <w:r>
        <w:rPr>
          <w:rFonts w:ascii="Tahoma" w:hAnsi="Tahoma" w:cs="Tahoma"/>
          <w:sz w:val="24"/>
          <w:szCs w:val="24"/>
        </w:rPr>
        <w:t>Στήριξη σε συνάδελφο που διώκεται στα πλαίσια άσκησης των καθηκόντων της</w:t>
      </w:r>
    </w:p>
    <w:p w:rsidR="008B77A6" w:rsidRDefault="008B77A6">
      <w:pPr>
        <w:suppressAutoHyphens/>
        <w:spacing w:line="360" w:lineRule="auto"/>
        <w:jc w:val="both"/>
        <w:rPr>
          <w:rFonts w:ascii="Tahoma" w:hAnsi="Tahoma" w:cs="Tahoma"/>
          <w:sz w:val="24"/>
          <w:szCs w:val="24"/>
        </w:rPr>
      </w:pPr>
    </w:p>
    <w:p w:rsidR="008B77A6" w:rsidRDefault="00B6741B">
      <w:pPr>
        <w:suppressAutoHyphens/>
        <w:spacing w:line="360" w:lineRule="auto"/>
        <w:ind w:firstLine="720"/>
        <w:jc w:val="both"/>
        <w:rPr>
          <w:rFonts w:ascii="Tahoma" w:hAnsi="Tahoma" w:cs="Tahoma"/>
          <w:sz w:val="24"/>
          <w:szCs w:val="24"/>
        </w:rPr>
      </w:pPr>
      <w:r>
        <w:rPr>
          <w:rFonts w:ascii="Tahoma" w:hAnsi="Tahoma" w:cs="Tahoma"/>
          <w:sz w:val="24"/>
          <w:szCs w:val="24"/>
        </w:rPr>
        <w:t>Με την παρούσα επιστολή θα θέλαμε να σας ενημερώσουμε για ένα γεγονός, που αφορά ποινική δίωξη συναδέλφου, που υπηρετεί στο Δήμο σας, στα πλαίσια άσκησης των καθηκόντων της.</w:t>
      </w:r>
    </w:p>
    <w:p w:rsidR="008B77A6" w:rsidRDefault="00B6741B">
      <w:pPr>
        <w:suppressAutoHyphens/>
        <w:spacing w:line="360" w:lineRule="auto"/>
        <w:ind w:firstLine="720"/>
        <w:jc w:val="both"/>
        <w:rPr>
          <w:rFonts w:ascii="Tahoma" w:hAnsi="Tahoma" w:cs="Tahoma"/>
          <w:sz w:val="24"/>
          <w:szCs w:val="24"/>
        </w:rPr>
      </w:pPr>
      <w:r>
        <w:rPr>
          <w:rFonts w:ascii="Tahoma" w:hAnsi="Tahoma" w:cs="Tahoma"/>
          <w:sz w:val="24"/>
          <w:szCs w:val="24"/>
        </w:rPr>
        <w:t>Πρόκειται για το τραγικό ατύχημα της 20-02-2022 στη Λάρισα, στο οποίο έχασε τη ζω</w:t>
      </w:r>
      <w:r>
        <w:rPr>
          <w:rFonts w:ascii="Tahoma" w:hAnsi="Tahoma" w:cs="Tahoma"/>
          <w:sz w:val="24"/>
          <w:szCs w:val="24"/>
        </w:rPr>
        <w:t>ή του ένα νεαρό παιδί, από την πτώση πορτασιάς περίφραξης ακατοίκητου σπιτιού στο κέντρο της Λάρισας. Για το ατύχημα αυτό, όπως ανακοινώθηκε και μάλιστα πανελλαδικά στα μέσα μαζικής ενημέρωσης, διώκεται ποινικά συνάδελφος-μέλος μας που κατέχει θέση ευθύνης</w:t>
      </w:r>
      <w:r>
        <w:rPr>
          <w:rFonts w:ascii="Tahoma" w:hAnsi="Tahoma" w:cs="Tahoma"/>
          <w:sz w:val="24"/>
          <w:szCs w:val="24"/>
        </w:rPr>
        <w:t xml:space="preserve"> στο Δήμο Λαρισαίων.</w:t>
      </w:r>
    </w:p>
    <w:p w:rsidR="008B77A6" w:rsidRDefault="00B6741B">
      <w:pPr>
        <w:suppressAutoHyphens/>
        <w:spacing w:line="360" w:lineRule="auto"/>
        <w:ind w:firstLine="720"/>
        <w:jc w:val="both"/>
      </w:pPr>
      <w:r>
        <w:rPr>
          <w:rFonts w:ascii="Tahoma" w:hAnsi="Tahoma" w:cs="Tahoma"/>
          <w:sz w:val="24"/>
          <w:szCs w:val="24"/>
        </w:rPr>
        <w:t xml:space="preserve">Η ΕΜΔΥΔΑΣ </w:t>
      </w:r>
      <w:r>
        <w:rPr>
          <w:rFonts w:ascii="Tahoma" w:hAnsi="Tahoma" w:cs="Tahoma"/>
          <w:sz w:val="24"/>
          <w:szCs w:val="24"/>
          <w:highlight w:val="white"/>
        </w:rPr>
        <w:t xml:space="preserve">έχοντας γνώση </w:t>
      </w:r>
      <w:r>
        <w:rPr>
          <w:rFonts w:ascii="Tahoma" w:hAnsi="Tahoma" w:cs="Tahoma"/>
          <w:sz w:val="24"/>
          <w:szCs w:val="24"/>
        </w:rPr>
        <w:t>των στοιχείων της υπόθεσης εκφράζει την αμέριστη στήριξη στη συνάδελφο και εγγυάται για την ακεραιότητα, την επαγγελματική ευθύνη και την ευαισθησία που έχει επιδείξει στα 32 χρόνια υπηρεσίας της και ιδιαίτερα σ</w:t>
      </w:r>
      <w:r>
        <w:rPr>
          <w:rFonts w:ascii="Tahoma" w:hAnsi="Tahoma" w:cs="Tahoma"/>
          <w:sz w:val="24"/>
          <w:szCs w:val="24"/>
        </w:rPr>
        <w:t>τα θέματα που αφορούν στην ασφάλεια των πολιτών. Η συνάδελφος μας η οποία έχει υπηρετήσει με ευσυνειδησία και την Ένωση μας από θέσεις ευθύνης, ουδέποτε έχει κατηγορηθεί για οτιδήποτε και η επαγγελματική της διαδρομή διακρίνεται από επαγγελματισμό και πνεύ</w:t>
      </w:r>
      <w:r>
        <w:rPr>
          <w:rFonts w:ascii="Tahoma" w:hAnsi="Tahoma" w:cs="Tahoma"/>
          <w:sz w:val="24"/>
          <w:szCs w:val="24"/>
        </w:rPr>
        <w:t>μα προσφοράς.</w:t>
      </w:r>
    </w:p>
    <w:p w:rsidR="008B77A6" w:rsidRDefault="00B6741B">
      <w:pPr>
        <w:suppressAutoHyphens/>
        <w:spacing w:line="360" w:lineRule="auto"/>
        <w:ind w:firstLine="720"/>
        <w:jc w:val="both"/>
        <w:rPr>
          <w:rFonts w:ascii="Tahoma" w:hAnsi="Tahoma" w:cs="Tahoma"/>
          <w:sz w:val="24"/>
          <w:szCs w:val="24"/>
        </w:rPr>
      </w:pPr>
      <w:r>
        <w:rPr>
          <w:rFonts w:ascii="Tahoma" w:hAnsi="Tahoma" w:cs="Tahoma"/>
          <w:sz w:val="24"/>
          <w:szCs w:val="24"/>
        </w:rPr>
        <w:lastRenderedPageBreak/>
        <w:t xml:space="preserve">Η ποινική δίωξη της συναδέλφου αποτελεί κλασική </w:t>
      </w:r>
      <w:r>
        <w:rPr>
          <w:rFonts w:ascii="Tahoma" w:hAnsi="Tahoma" w:cs="Tahoma"/>
          <w:b/>
          <w:sz w:val="24"/>
          <w:szCs w:val="24"/>
        </w:rPr>
        <w:t>περίπτωση μεταφοράς ευθύνης σε δημόσιο λειτουργό λόγω της θέσης του,</w:t>
      </w:r>
      <w:r>
        <w:rPr>
          <w:rFonts w:ascii="Tahoma" w:hAnsi="Tahoma" w:cs="Tahoma"/>
          <w:sz w:val="24"/>
          <w:szCs w:val="24"/>
        </w:rPr>
        <w:t xml:space="preserve"> αφού δεν προκύπτει από κανένα στοιχείο της προανακριτικής διαδικασίας ή από μαρτυρική κατάθεση η εμπλοκή της.</w:t>
      </w:r>
    </w:p>
    <w:p w:rsidR="008B77A6" w:rsidRDefault="00B6741B">
      <w:pPr>
        <w:suppressAutoHyphens/>
        <w:spacing w:line="360" w:lineRule="auto"/>
        <w:jc w:val="both"/>
        <w:rPr>
          <w:rFonts w:ascii="Tahoma" w:hAnsi="Tahoma" w:cs="Tahoma"/>
          <w:sz w:val="24"/>
          <w:szCs w:val="24"/>
        </w:rPr>
      </w:pPr>
      <w:r>
        <w:rPr>
          <w:rFonts w:ascii="Tahoma" w:hAnsi="Tahoma" w:cs="Tahoma"/>
          <w:sz w:val="24"/>
          <w:szCs w:val="24"/>
        </w:rPr>
        <w:t xml:space="preserve">Δεν προέκυψε </w:t>
      </w:r>
      <w:r>
        <w:rPr>
          <w:rFonts w:ascii="Tahoma" w:hAnsi="Tahoma" w:cs="Tahoma"/>
          <w:sz w:val="24"/>
          <w:szCs w:val="24"/>
        </w:rPr>
        <w:t>αντικειμενικά, ότι γνώριζε για την επικινδυνότητα της κατασκευής, που κατέρρευσε ή άλλου στοιχείου, που να αφορά στην επικινδυνότητα του συγκεκριμένου κτιρίου και άρα δεν προέκυψε η προσωπική της ευθύνη για το τραγικό ατύχημα.</w:t>
      </w:r>
    </w:p>
    <w:p w:rsidR="008B77A6" w:rsidRDefault="00B6741B">
      <w:pPr>
        <w:suppressAutoHyphens/>
        <w:spacing w:line="360" w:lineRule="auto"/>
        <w:ind w:firstLine="709"/>
        <w:jc w:val="both"/>
        <w:rPr>
          <w:rFonts w:ascii="Tahoma" w:hAnsi="Tahoma" w:cs="Tahoma"/>
          <w:b/>
          <w:sz w:val="24"/>
          <w:szCs w:val="24"/>
        </w:rPr>
      </w:pPr>
      <w:r>
        <w:rPr>
          <w:rFonts w:ascii="Tahoma" w:hAnsi="Tahoma" w:cs="Tahoma"/>
          <w:sz w:val="24"/>
          <w:szCs w:val="24"/>
        </w:rPr>
        <w:t>Η τοποθέτησή μας για την έλλειψη ιδίας γνώσης της συναδέλφου, δεν αφορά μόνο στην έγγραφη ή με ηλεκτρονικό τρόπο ενημέρωση της υπηρεσίας από πολίτη, αλλά και αυτή της τηλεφωνικής, προφορικής και γενικώς γνώση περί επικινδυνότητας της κατασκευής της πορτασι</w:t>
      </w:r>
      <w:r>
        <w:rPr>
          <w:rFonts w:ascii="Tahoma" w:hAnsi="Tahoma" w:cs="Tahoma"/>
          <w:sz w:val="24"/>
          <w:szCs w:val="24"/>
        </w:rPr>
        <w:t xml:space="preserve">άς ή του συγκεκριμένου κτιρίου </w:t>
      </w:r>
      <w:r>
        <w:rPr>
          <w:rFonts w:ascii="Tahoma" w:hAnsi="Tahoma" w:cs="Tahoma"/>
          <w:b/>
          <w:sz w:val="24"/>
          <w:szCs w:val="24"/>
        </w:rPr>
        <w:t>με οιονδήποτε τρόπο.</w:t>
      </w:r>
    </w:p>
    <w:p w:rsidR="008B77A6" w:rsidRDefault="00B6741B">
      <w:pPr>
        <w:suppressAutoHyphens/>
        <w:spacing w:line="360" w:lineRule="auto"/>
        <w:ind w:firstLine="709"/>
        <w:jc w:val="both"/>
      </w:pPr>
      <w:r>
        <w:rPr>
          <w:rFonts w:ascii="Tahoma" w:hAnsi="Tahoma" w:cs="Tahoma"/>
          <w:sz w:val="24"/>
          <w:szCs w:val="24"/>
        </w:rPr>
        <w:t>Παρά το μεγάλο πλήθος εισερχόμενων καταγγελιών και τις χιλιάδες αυτοψίες που έχουν πραγματοποιηθεί από το εν λόγω τμήμα τα τελευταία χρόνια, ουδεμία προφορική ή γραπτή αναφορά είχε γίνει, ούτε είχε υπάρξε</w:t>
      </w:r>
      <w:r>
        <w:rPr>
          <w:rFonts w:ascii="Tahoma" w:hAnsi="Tahoma" w:cs="Tahoma"/>
          <w:sz w:val="24"/>
          <w:szCs w:val="24"/>
        </w:rPr>
        <w:t xml:space="preserve">ι καμία καταγραφή του. Στην άποψή μας αυτή συνηγορεί και το αποτέλεσμα της Ένορκης Διοικητικής Εξέτασης </w:t>
      </w:r>
      <w:r>
        <w:rPr>
          <w:rFonts w:ascii="Tahoma" w:hAnsi="Tahoma" w:cs="Tahoma"/>
          <w:sz w:val="24"/>
          <w:szCs w:val="24"/>
          <w:highlight w:val="white"/>
        </w:rPr>
        <w:t>δεκάδων</w:t>
      </w:r>
      <w:r>
        <w:rPr>
          <w:rFonts w:ascii="Tahoma" w:hAnsi="Tahoma" w:cs="Tahoma"/>
          <w:sz w:val="24"/>
          <w:szCs w:val="24"/>
        </w:rPr>
        <w:t xml:space="preserve"> υπαλλήλων, η οποία διατάχθηκε από τον τότε Δήμαρχο Λαρισαίων, προκειμένου να διερευνηθεί εάν περιήλθε σε γνώση τους η επικινδυνότητα της κατασκε</w:t>
      </w:r>
      <w:r>
        <w:rPr>
          <w:rFonts w:ascii="Tahoma" w:hAnsi="Tahoma" w:cs="Tahoma"/>
          <w:sz w:val="24"/>
          <w:szCs w:val="24"/>
        </w:rPr>
        <w:t>υής και εάν απέτρεψαν σε πολίτη να καταθέσει έγγραφη καταγγελία. Το αποτέλεσμα ήταν να μην αποδοθεί πειθαρχική ευθύνη σε κανέναν υπάλληλο. Δυστυχώς όμως άλλη μια φορά η διαδικασία της Ε.Δ.Ε. που για τη διοίκηση αποτελεί μια από τις σημαντικές διαδικασίες έ</w:t>
      </w:r>
      <w:r>
        <w:rPr>
          <w:rFonts w:ascii="Tahoma" w:hAnsi="Tahoma" w:cs="Tahoma"/>
          <w:sz w:val="24"/>
          <w:szCs w:val="24"/>
        </w:rPr>
        <w:t>ρευνας για την διάπραξη αδικήματος και απόδοσης ευθυνών σε υπάλληλο, αντιμετωπίζεται ως κουρελόχαρτο.</w:t>
      </w:r>
    </w:p>
    <w:p w:rsidR="008B77A6" w:rsidRDefault="00B6741B">
      <w:pPr>
        <w:suppressAutoHyphens/>
        <w:spacing w:line="360" w:lineRule="auto"/>
        <w:ind w:firstLine="720"/>
        <w:jc w:val="both"/>
      </w:pPr>
      <w:r>
        <w:rPr>
          <w:rFonts w:ascii="Tahoma" w:hAnsi="Tahoma" w:cs="Tahoma"/>
          <w:sz w:val="24"/>
          <w:szCs w:val="24"/>
        </w:rPr>
        <w:t xml:space="preserve">Η ποινική δίωξη της συναδέλφου αποτελεί κλασική </w:t>
      </w:r>
      <w:r>
        <w:rPr>
          <w:rFonts w:ascii="Tahoma" w:hAnsi="Tahoma" w:cs="Tahoma"/>
          <w:b/>
          <w:sz w:val="24"/>
          <w:szCs w:val="24"/>
        </w:rPr>
        <w:t>περίπτωση μετακύλισης των ευθυνών</w:t>
      </w:r>
      <w:r>
        <w:rPr>
          <w:rFonts w:ascii="Tahoma" w:hAnsi="Tahoma" w:cs="Tahoma"/>
          <w:sz w:val="24"/>
          <w:szCs w:val="24"/>
        </w:rPr>
        <w:t xml:space="preserve"> </w:t>
      </w:r>
      <w:r>
        <w:rPr>
          <w:rFonts w:ascii="Tahoma" w:hAnsi="Tahoma" w:cs="Tahoma"/>
          <w:b/>
          <w:sz w:val="24"/>
          <w:szCs w:val="24"/>
        </w:rPr>
        <w:t>από την κεντρική εξουσία σε δημόσιους λειτουργούς</w:t>
      </w:r>
      <w:r>
        <w:rPr>
          <w:rFonts w:ascii="Tahoma" w:hAnsi="Tahoma" w:cs="Tahoma"/>
          <w:sz w:val="24"/>
          <w:szCs w:val="24"/>
        </w:rPr>
        <w:t xml:space="preserve"> για την έλλειψη από τη</w:t>
      </w:r>
      <w:r>
        <w:rPr>
          <w:rFonts w:ascii="Tahoma" w:hAnsi="Tahoma" w:cs="Tahoma"/>
          <w:sz w:val="24"/>
          <w:szCs w:val="24"/>
        </w:rPr>
        <w:t xml:space="preserve"> μεριά της στόχων και νόμων, που αφορούν στην ασφάλεια της ζωής των πολιτών.</w:t>
      </w:r>
    </w:p>
    <w:p w:rsidR="008B77A6" w:rsidRDefault="00B6741B">
      <w:pPr>
        <w:suppressAutoHyphens/>
        <w:spacing w:line="360" w:lineRule="auto"/>
        <w:ind w:firstLine="709"/>
        <w:jc w:val="both"/>
      </w:pPr>
      <w:r>
        <w:rPr>
          <w:rFonts w:ascii="Tahoma" w:hAnsi="Tahoma" w:cs="Tahoma"/>
          <w:sz w:val="24"/>
          <w:szCs w:val="24"/>
        </w:rPr>
        <w:t>Στο σημείο αυτό, θα πρέπει να επισημάνουμε ότι η κυβέρνηση δεν έχει θεσμοθετήσει κανένα πρόγραμμα οικονομικής στήριξης των ιδιοκτητών κτιρίων γενικά, μονοκατοικιών- πολυκατοικιών,</w:t>
      </w:r>
      <w:r>
        <w:rPr>
          <w:rFonts w:ascii="Tahoma" w:hAnsi="Tahoma" w:cs="Tahoma"/>
          <w:sz w:val="24"/>
          <w:szCs w:val="24"/>
        </w:rPr>
        <w:t xml:space="preserve"> προκειμένου να ελέγξουν και να συντηρήσουν τα κτίρια τους, έτσι ώστε να μην αποτελούν τα στοιχεία των όψεών τους (στηθαία, μαρμαροεπικαλύψεις, επιχρίσματα, καμινάδες, στέγες κ.λ.π), προς τους κοινόχρηστους χώρους ή τους ακαλύπτους χώρους των οικοπέδων κίν</w:t>
      </w:r>
      <w:r>
        <w:rPr>
          <w:rFonts w:ascii="Tahoma" w:hAnsi="Tahoma" w:cs="Tahoma"/>
          <w:sz w:val="24"/>
          <w:szCs w:val="24"/>
        </w:rPr>
        <w:t>δυνο για τους διερχόμενους.</w:t>
      </w:r>
    </w:p>
    <w:p w:rsidR="008B77A6" w:rsidRDefault="00B6741B">
      <w:pPr>
        <w:suppressAutoHyphens/>
        <w:spacing w:line="360" w:lineRule="auto"/>
        <w:ind w:firstLine="720"/>
        <w:jc w:val="both"/>
      </w:pPr>
      <w:r>
        <w:rPr>
          <w:rFonts w:ascii="Tahoma" w:hAnsi="Tahoma" w:cs="Tahoma"/>
          <w:sz w:val="24"/>
          <w:szCs w:val="24"/>
        </w:rPr>
        <w:t xml:space="preserve">Είναι δεδομένο ότι το κτιριακό απόθεμα τόσο στον αστικό ιστό όσο και στις δημοτικές κοινότητες έχει γεράσει. Η παρατεταμένη οικονομική κρίση, η ανεργία, τα χαμηλά εισοδήματα των πολιτών σε σχέση με το αυξημένο κόστος διαβίωσης, </w:t>
      </w:r>
      <w:r>
        <w:rPr>
          <w:rFonts w:ascii="Tahoma" w:hAnsi="Tahoma" w:cs="Tahoma"/>
          <w:sz w:val="24"/>
          <w:szCs w:val="24"/>
        </w:rPr>
        <w:t xml:space="preserve">έχουν συμβάλει στην εγκατάλειψη, στην μη συντήρηση στην μη αντικατάσταση υλικών ή και </w:t>
      </w:r>
      <w:r>
        <w:rPr>
          <w:rFonts w:ascii="Tahoma" w:hAnsi="Tahoma" w:cs="Tahoma"/>
          <w:sz w:val="24"/>
          <w:szCs w:val="24"/>
        </w:rPr>
        <w:lastRenderedPageBreak/>
        <w:t xml:space="preserve">στην κατεδάφιση από μέρους των πολιτών οιασδήποτε παλιάς κατασκευής. Στην περιφέρειά μας, </w:t>
      </w:r>
      <w:r>
        <w:rPr>
          <w:rFonts w:ascii="Tahoma" w:hAnsi="Tahoma" w:cs="Tahoma"/>
          <w:sz w:val="24"/>
          <w:szCs w:val="24"/>
          <w:highlight w:val="white"/>
        </w:rPr>
        <w:t xml:space="preserve">εκτός των παραπάνω, </w:t>
      </w:r>
      <w:r>
        <w:rPr>
          <w:rFonts w:ascii="Tahoma" w:hAnsi="Tahoma" w:cs="Tahoma"/>
          <w:sz w:val="24"/>
          <w:szCs w:val="24"/>
        </w:rPr>
        <w:t>τα τελευταία χρόνια η πλημμύρα «Ιανός» το 2020, ο σεισμός το</w:t>
      </w:r>
      <w:r>
        <w:rPr>
          <w:rFonts w:ascii="Tahoma" w:hAnsi="Tahoma" w:cs="Tahoma"/>
          <w:sz w:val="24"/>
          <w:szCs w:val="24"/>
        </w:rPr>
        <w:t xml:space="preserve"> 2021, οι πλημμύρες του Σεπτεμβρίου το 2023 έχουν επιβαρύνει την κατάσταση των κτιρίων και των υλικών τους, ενώ ακόμα δεν έχει ολοκληρωθεί, πλην εξαιρέσεων, η κατεδάφιση των επικινδύνως ετοιμόρροπων κτιρίων που έχουν προκύψει από τις αναφερόμενες καταστροφ</w:t>
      </w:r>
      <w:r>
        <w:rPr>
          <w:rFonts w:ascii="Tahoma" w:hAnsi="Tahoma" w:cs="Tahoma"/>
          <w:sz w:val="24"/>
          <w:szCs w:val="24"/>
        </w:rPr>
        <w:t>ές.</w:t>
      </w:r>
    </w:p>
    <w:p w:rsidR="008B77A6" w:rsidRDefault="00B6741B">
      <w:pPr>
        <w:suppressAutoHyphens/>
        <w:spacing w:line="360" w:lineRule="auto"/>
        <w:ind w:firstLine="720"/>
        <w:jc w:val="both"/>
      </w:pPr>
      <w:r>
        <w:rPr>
          <w:rFonts w:ascii="Tahoma" w:hAnsi="Tahoma" w:cs="Tahoma"/>
          <w:sz w:val="24"/>
          <w:szCs w:val="24"/>
        </w:rPr>
        <w:t>Η έλλειψη στήριξης για τις κατεδαφίσεις στους σεισμοπαθείς, πλημμυροπαθείς και γενικά η έλλειψη της θεσμοθέτησης προγραμμάτων ενίσχυσης για την άσκηση του προληπτικού ελέγχου των κατασκευών και της συντήρησής τους από τους ιδιοκτήτες δεν μπορεί να αναζ</w:t>
      </w:r>
      <w:r>
        <w:rPr>
          <w:rFonts w:ascii="Tahoma" w:hAnsi="Tahoma" w:cs="Tahoma"/>
          <w:sz w:val="24"/>
          <w:szCs w:val="24"/>
        </w:rPr>
        <w:t>ητείται στα καθήκοντα των μηχανικών των τεχνικών υπηρεσιών, που είναι και στην πράξη αδύνατος να πραγματοποιηθεί. (Τεχνικά μέσα ανύπαρκτα όπως σκαλωσιές- καλαθοφόρα, τεχνικά οχήματα και τεχνικό προσωπικό, προδιαγραφές εξέτασης από ΥΠΕΝ, ΟΑΣΠ, κ.λπ.).</w:t>
      </w:r>
    </w:p>
    <w:p w:rsidR="008B77A6" w:rsidRDefault="00B6741B">
      <w:pPr>
        <w:suppressAutoHyphens/>
        <w:spacing w:line="360" w:lineRule="auto"/>
        <w:ind w:firstLine="720"/>
        <w:jc w:val="both"/>
      </w:pPr>
      <w:r>
        <w:rPr>
          <w:rFonts w:ascii="Tahoma" w:hAnsi="Tahoma" w:cs="Tahoma"/>
          <w:sz w:val="24"/>
          <w:szCs w:val="24"/>
        </w:rPr>
        <w:t>Τα τε</w:t>
      </w:r>
      <w:r>
        <w:rPr>
          <w:rFonts w:ascii="Tahoma" w:hAnsi="Tahoma" w:cs="Tahoma"/>
          <w:sz w:val="24"/>
          <w:szCs w:val="24"/>
        </w:rPr>
        <w:t>λευταία χρόνια η Πανελλήνια Ομοσπονδία της Ε.Μ.Δ.Υ.Δ.Α.Σ. έχει αποστείλει δεκάδες επιστολές στους αρμοδίους υπουργούς και σε υπηρεσιακούς παράγοντες, στις οποίες τονίζεται, ότι η τεράστια υποστελέχωση των δημοσίων υπηρεσιών και ιδιαιτέρως των Τεχνικών Υπηρ</w:t>
      </w:r>
      <w:r>
        <w:rPr>
          <w:rFonts w:ascii="Tahoma" w:hAnsi="Tahoma" w:cs="Tahoma"/>
          <w:sz w:val="24"/>
          <w:szCs w:val="24"/>
        </w:rPr>
        <w:t>εσιών και των ΥΔΟΜ δημιουργεί προβλήματα στην άσκηση των υπηρεσιακών καθηκόντων των συναδέλφων με αποτέλεσμα, τον κίνδυνο της πλήρους διασφάλισης του δημοσίου συμφέροντος και κατ’ επέκταση, της ασφάλειας των πολιτών και της διαφύλαξης του φυσικού και δομημ</w:t>
      </w:r>
      <w:r>
        <w:rPr>
          <w:rFonts w:ascii="Tahoma" w:hAnsi="Tahoma" w:cs="Tahoma"/>
          <w:sz w:val="24"/>
          <w:szCs w:val="24"/>
        </w:rPr>
        <w:t>ένου περιβάλλοντος.</w:t>
      </w:r>
    </w:p>
    <w:p w:rsidR="008B77A6" w:rsidRDefault="00B6741B">
      <w:pPr>
        <w:suppressAutoHyphens/>
        <w:spacing w:line="360" w:lineRule="auto"/>
        <w:ind w:firstLine="720"/>
        <w:jc w:val="both"/>
        <w:rPr>
          <w:rFonts w:ascii="Tahoma" w:hAnsi="Tahoma" w:cs="Tahoma"/>
          <w:sz w:val="24"/>
          <w:szCs w:val="24"/>
        </w:rPr>
      </w:pPr>
      <w:r>
        <w:rPr>
          <w:rFonts w:ascii="Tahoma" w:hAnsi="Tahoma" w:cs="Tahoma"/>
          <w:sz w:val="24"/>
          <w:szCs w:val="24"/>
        </w:rPr>
        <w:t>Το πιο ανησυχητικό είναι, ότι η υποστελέχωση έχει φθάσει στα όρια πλέον της επικινδυνότητας, με ευθύνες ανάθεσης στους συναδέλφους, πολλών παράλληλων καθηκόντων, χωρίς τεχνικές και επιστημονικές υποδομές, με μόνιμη απειλή για εναντίον τ</w:t>
      </w:r>
      <w:r>
        <w:rPr>
          <w:rFonts w:ascii="Tahoma" w:hAnsi="Tahoma" w:cs="Tahoma"/>
          <w:sz w:val="24"/>
          <w:szCs w:val="24"/>
        </w:rPr>
        <w:t>ους καταγγελίες και πολιτικό εκφοβισμό, με μία δαιδαλώδη νομοθεσία που αλλάζει συνεχώς.</w:t>
      </w:r>
    </w:p>
    <w:p w:rsidR="008B77A6" w:rsidRDefault="00B6741B">
      <w:pPr>
        <w:suppressAutoHyphens/>
        <w:spacing w:line="360" w:lineRule="auto"/>
        <w:ind w:firstLine="720"/>
        <w:jc w:val="both"/>
      </w:pPr>
      <w:r>
        <w:rPr>
          <w:rFonts w:ascii="Tahoma" w:hAnsi="Tahoma" w:cs="Tahoma"/>
          <w:sz w:val="24"/>
          <w:szCs w:val="24"/>
          <w:highlight w:val="white"/>
        </w:rPr>
        <w:t>Λόγω των άδικων διώξεων συναδέλφων Μηχανικών Δημοσίων Υπαλλήλων η Πανελλήνια Ομοσπονδία Ε.Μ.Δ.Υ.Δ.Α.Σ. έχει καταθέσει προτάσεις για τη δημιουργία Θεσμικού Οργάνου που θ</w:t>
      </w:r>
      <w:r>
        <w:rPr>
          <w:rFonts w:ascii="Tahoma" w:hAnsi="Tahoma" w:cs="Tahoma"/>
          <w:sz w:val="24"/>
          <w:szCs w:val="24"/>
          <w:highlight w:val="white"/>
        </w:rPr>
        <w:t>α ασχολείται με την «Τεχνική Δικαιοσύνη» και θα βοηθά στην απόδοση της Δικαιοσύνης.</w:t>
      </w:r>
    </w:p>
    <w:p w:rsidR="008B77A6" w:rsidRDefault="00B6741B">
      <w:pPr>
        <w:suppressAutoHyphens/>
        <w:spacing w:line="360" w:lineRule="auto"/>
        <w:ind w:firstLine="720"/>
        <w:jc w:val="both"/>
      </w:pPr>
      <w:r>
        <w:rPr>
          <w:rFonts w:ascii="Tahoma" w:hAnsi="Tahoma" w:cs="Tahoma"/>
          <w:sz w:val="24"/>
          <w:szCs w:val="24"/>
        </w:rPr>
        <w:t xml:space="preserve">Θα θέλαμε να τονίσουμε με αφορμή την ποινική δίωξη της συναδέλφου ότι </w:t>
      </w:r>
      <w:r>
        <w:rPr>
          <w:rFonts w:ascii="Tahoma" w:hAnsi="Tahoma" w:cs="Tahoma"/>
          <w:b/>
          <w:sz w:val="24"/>
          <w:szCs w:val="24"/>
        </w:rPr>
        <w:t>δεν μπορεί να αποτελούμε τα μόνιμα εξιλαστήρια θύματα της κεντρικής εξουσίας για τις δικές της παραλεί</w:t>
      </w:r>
      <w:r>
        <w:rPr>
          <w:rFonts w:ascii="Tahoma" w:hAnsi="Tahoma" w:cs="Tahoma"/>
          <w:b/>
          <w:sz w:val="24"/>
          <w:szCs w:val="24"/>
        </w:rPr>
        <w:t>ψεις</w:t>
      </w:r>
      <w:r>
        <w:rPr>
          <w:rFonts w:ascii="Tahoma" w:hAnsi="Tahoma" w:cs="Tahoma"/>
          <w:sz w:val="24"/>
          <w:szCs w:val="24"/>
        </w:rPr>
        <w:t xml:space="preserve">. Δεν μπορεί να οδηγούνται αβίαστα δημόσιοι λειτουργοί σε </w:t>
      </w:r>
      <w:r>
        <w:rPr>
          <w:rFonts w:ascii="Tahoma" w:hAnsi="Tahoma" w:cs="Tahoma"/>
          <w:sz w:val="24"/>
          <w:szCs w:val="24"/>
        </w:rPr>
        <w:lastRenderedPageBreak/>
        <w:t>ποινικές δίκες ως εξιλαστήρια θύματα καταστρέφοντας τη ζωή των ιδίων και της οικογένειας τους αλλά και τη δημοσιοϋπαλληλική πορεία τους.</w:t>
      </w:r>
    </w:p>
    <w:p w:rsidR="008B77A6" w:rsidRDefault="00B6741B">
      <w:pPr>
        <w:suppressAutoHyphens/>
        <w:spacing w:line="360" w:lineRule="auto"/>
        <w:ind w:firstLine="709"/>
        <w:jc w:val="both"/>
      </w:pPr>
      <w:r>
        <w:rPr>
          <w:rFonts w:ascii="Tahoma" w:hAnsi="Tahoma" w:cs="Tahoma"/>
          <w:sz w:val="24"/>
          <w:szCs w:val="24"/>
        </w:rPr>
        <w:t>Η Πρωτοβάθμια Ένωσή μας στέκεται στο πλευρό της συναδέλφο</w:t>
      </w:r>
      <w:r>
        <w:rPr>
          <w:rFonts w:ascii="Tahoma" w:hAnsi="Tahoma" w:cs="Tahoma"/>
          <w:sz w:val="24"/>
          <w:szCs w:val="24"/>
        </w:rPr>
        <w:t>υ, αλλά και κάθε συναδέλφου που διώκεται στα πλαίσια άσκησης των υπηρεσιακών του καθηκόντων, υπερασπίζοντας τα δικαιώματα και την αξιοπρέπεια τους κατά την άσκηση των καθηκόντων τους. Θα σταθούμε στο πλευρό τους μέχρι την τελική δικαίωση και σε αυτό καλούμ</w:t>
      </w:r>
      <w:r>
        <w:rPr>
          <w:rFonts w:ascii="Tahoma" w:hAnsi="Tahoma" w:cs="Tahoma"/>
          <w:sz w:val="24"/>
          <w:szCs w:val="24"/>
        </w:rPr>
        <w:t>ε και όλους τους φορείς των Μηχανικών αλλά και των Υπαλλήλων της περιοχής μας.</w:t>
      </w:r>
    </w:p>
    <w:p w:rsidR="008B77A6" w:rsidRDefault="008B77A6">
      <w:pPr>
        <w:tabs>
          <w:tab w:val="left" w:pos="0"/>
        </w:tabs>
        <w:suppressAutoHyphens/>
        <w:spacing w:line="360" w:lineRule="auto"/>
        <w:jc w:val="both"/>
        <w:rPr>
          <w:rFonts w:ascii="Tahoma" w:hAnsi="Tahoma" w:cs="Tahoma"/>
          <w:sz w:val="24"/>
          <w:szCs w:val="24"/>
        </w:rPr>
      </w:pPr>
    </w:p>
    <w:p w:rsidR="008B77A6" w:rsidRDefault="00B6741B">
      <w:pPr>
        <w:tabs>
          <w:tab w:val="left" w:pos="0"/>
        </w:tabs>
        <w:suppressAutoHyphens/>
        <w:spacing w:line="360" w:lineRule="auto"/>
      </w:pPr>
      <w:r>
        <w:rPr>
          <w:noProof/>
          <w:lang w:eastAsia="el-GR"/>
        </w:rPr>
        <w:drawing>
          <wp:anchor distT="0" distB="0" distL="0" distR="0" simplePos="0" relativeHeight="6" behindDoc="0" locked="0" layoutInCell="1" allowOverlap="1">
            <wp:simplePos x="0" y="0"/>
            <wp:positionH relativeFrom="column">
              <wp:posOffset>566420</wp:posOffset>
            </wp:positionH>
            <wp:positionV relativeFrom="paragraph">
              <wp:posOffset>245745</wp:posOffset>
            </wp:positionV>
            <wp:extent cx="5286375" cy="2143125"/>
            <wp:effectExtent l="0" t="0" r="0" b="0"/>
            <wp:wrapSquare wrapText="bothSides"/>
            <wp:docPr id="1"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6"/>
                    <pic:cNvPicPr>
                      <a:picLocks noChangeAspect="1" noChangeArrowheads="1"/>
                    </pic:cNvPicPr>
                  </pic:nvPicPr>
                  <pic:blipFill>
                    <a:blip r:embed="rId8" cstate="print"/>
                    <a:stretch>
                      <a:fillRect/>
                    </a:stretch>
                  </pic:blipFill>
                  <pic:spPr bwMode="auto">
                    <a:xfrm>
                      <a:off x="0" y="0"/>
                      <a:ext cx="5286375" cy="2143125"/>
                    </a:xfrm>
                    <a:prstGeom prst="rect">
                      <a:avLst/>
                    </a:prstGeom>
                  </pic:spPr>
                </pic:pic>
              </a:graphicData>
            </a:graphic>
          </wp:anchor>
        </w:drawing>
      </w:r>
    </w:p>
    <w:sectPr w:rsidR="008B77A6" w:rsidSect="008B77A6">
      <w:headerReference w:type="default" r:id="rId9"/>
      <w:footerReference w:type="default" r:id="rId10"/>
      <w:pgSz w:w="11906" w:h="16838"/>
      <w:pgMar w:top="1418" w:right="849" w:bottom="777" w:left="1418" w:header="720" w:footer="720" w:gutter="0"/>
      <w:cols w:space="720"/>
      <w:formProt w:val="0"/>
      <w:docGrid w:linePitch="360" w:charSpace="1638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741B" w:rsidRDefault="00B6741B" w:rsidP="008B77A6">
      <w:r>
        <w:separator/>
      </w:r>
    </w:p>
  </w:endnote>
  <w:endnote w:type="continuationSeparator" w:id="0">
    <w:p w:rsidR="00B6741B" w:rsidRDefault="00B6741B" w:rsidP="008B77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A1"/>
    <w:family w:val="swiss"/>
    <w:pitch w:val="variable"/>
    <w:sig w:usb0="80000AFF" w:usb1="0000396B" w:usb2="00000000" w:usb3="00000000" w:csb0="000000BF" w:csb1="00000000"/>
  </w:font>
  <w:font w:name="Tahoma">
    <w:panose1 w:val="020B0604030504040204"/>
    <w:charset w:val="A1"/>
    <w:family w:val="swiss"/>
    <w:pitch w:val="variable"/>
    <w:sig w:usb0="E1002EFF" w:usb1="C000605B" w:usb2="00000029" w:usb3="00000000" w:csb0="000101FF" w:csb1="00000000"/>
  </w:font>
  <w:font w:name="Lucida Sans">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7A6" w:rsidRDefault="00B6741B">
    <w:pPr>
      <w:pStyle w:val="Footer"/>
    </w:pPr>
    <w:r>
      <w:t xml:space="preserve"> </w:t>
    </w:r>
    <w:r w:rsidR="008B77A6">
      <w:pict>
        <v:rect id="_x0000_s2049" style="position:absolute;margin-left:0;margin-top:.05pt;width:5pt;height:11.5pt;z-index:251657728;mso-wrap-distance-left:0;mso-wrap-distance-right:0;mso-position-horizontal:center;mso-position-horizontal-relative:text;mso-position-vertical-relative:text" stroked="f" strokeweight="0">
          <v:fill opacity="0"/>
          <v:textbox inset="0,0,0,0">
            <w:txbxContent>
              <w:p w:rsidR="008B77A6" w:rsidRDefault="008B77A6">
                <w:pPr>
                  <w:pStyle w:val="Footer"/>
                </w:pPr>
                <w:r>
                  <w:rPr>
                    <w:rStyle w:val="a3"/>
                  </w:rPr>
                  <w:fldChar w:fldCharType="begin"/>
                </w:r>
                <w:r w:rsidR="00B6741B">
                  <w:rPr>
                    <w:rStyle w:val="a3"/>
                  </w:rPr>
                  <w:instrText>PAGE</w:instrText>
                </w:r>
                <w:r>
                  <w:rPr>
                    <w:rStyle w:val="a3"/>
                  </w:rPr>
                  <w:fldChar w:fldCharType="separate"/>
                </w:r>
                <w:r w:rsidR="0089328D">
                  <w:rPr>
                    <w:rStyle w:val="a3"/>
                    <w:noProof/>
                  </w:rPr>
                  <w:t>1</w:t>
                </w:r>
                <w:r>
                  <w:rPr>
                    <w:rStyle w:val="a3"/>
                  </w:rPr>
                  <w:fldChar w:fldCharType="end"/>
                </w:r>
              </w:p>
            </w:txbxContent>
          </v:textbox>
          <w10:wrap type="squar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741B" w:rsidRDefault="00B6741B" w:rsidP="008B77A6">
      <w:r>
        <w:separator/>
      </w:r>
    </w:p>
  </w:footnote>
  <w:footnote w:type="continuationSeparator" w:id="0">
    <w:p w:rsidR="00B6741B" w:rsidRDefault="00B6741B" w:rsidP="008B77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7A6" w:rsidRDefault="008B77A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DF4A22"/>
    <w:multiLevelType w:val="multilevel"/>
    <w:tmpl w:val="698CBFE4"/>
    <w:lvl w:ilvl="0">
      <w:start w:val="1"/>
      <w:numFmt w:val="decimal"/>
      <w:lvlText w:val="%1."/>
      <w:lvlJc w:val="left"/>
      <w:pPr>
        <w:ind w:left="5256" w:hanging="360"/>
      </w:pPr>
    </w:lvl>
    <w:lvl w:ilvl="1">
      <w:start w:val="1"/>
      <w:numFmt w:val="lowerLetter"/>
      <w:lvlText w:val="%2."/>
      <w:lvlJc w:val="left"/>
      <w:pPr>
        <w:ind w:left="5976" w:hanging="360"/>
      </w:pPr>
    </w:lvl>
    <w:lvl w:ilvl="2">
      <w:start w:val="1"/>
      <w:numFmt w:val="lowerRoman"/>
      <w:lvlText w:val="%3."/>
      <w:lvlJc w:val="right"/>
      <w:pPr>
        <w:ind w:left="6696" w:hanging="180"/>
      </w:pPr>
    </w:lvl>
    <w:lvl w:ilvl="3">
      <w:start w:val="1"/>
      <w:numFmt w:val="decimal"/>
      <w:lvlText w:val="%4."/>
      <w:lvlJc w:val="left"/>
      <w:pPr>
        <w:ind w:left="7416" w:hanging="360"/>
      </w:pPr>
    </w:lvl>
    <w:lvl w:ilvl="4">
      <w:start w:val="1"/>
      <w:numFmt w:val="lowerLetter"/>
      <w:lvlText w:val="%5."/>
      <w:lvlJc w:val="left"/>
      <w:pPr>
        <w:ind w:left="8136" w:hanging="360"/>
      </w:pPr>
    </w:lvl>
    <w:lvl w:ilvl="5">
      <w:start w:val="1"/>
      <w:numFmt w:val="lowerRoman"/>
      <w:lvlText w:val="%6."/>
      <w:lvlJc w:val="right"/>
      <w:pPr>
        <w:ind w:left="8856" w:hanging="180"/>
      </w:pPr>
    </w:lvl>
    <w:lvl w:ilvl="6">
      <w:start w:val="1"/>
      <w:numFmt w:val="decimal"/>
      <w:lvlText w:val="%7."/>
      <w:lvlJc w:val="left"/>
      <w:pPr>
        <w:ind w:left="9576" w:hanging="360"/>
      </w:pPr>
    </w:lvl>
    <w:lvl w:ilvl="7">
      <w:start w:val="1"/>
      <w:numFmt w:val="lowerLetter"/>
      <w:lvlText w:val="%8."/>
      <w:lvlJc w:val="left"/>
      <w:pPr>
        <w:ind w:left="10296" w:hanging="360"/>
      </w:pPr>
    </w:lvl>
    <w:lvl w:ilvl="8">
      <w:start w:val="1"/>
      <w:numFmt w:val="lowerRoman"/>
      <w:lvlText w:val="%9."/>
      <w:lvlJc w:val="right"/>
      <w:pPr>
        <w:ind w:left="11016" w:hanging="180"/>
      </w:pPr>
    </w:lvl>
  </w:abstractNum>
  <w:abstractNum w:abstractNumId="1">
    <w:nsid w:val="343D4B3C"/>
    <w:multiLevelType w:val="multilevel"/>
    <w:tmpl w:val="1114757A"/>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nsid w:val="6B795540"/>
    <w:multiLevelType w:val="multilevel"/>
    <w:tmpl w:val="7E68CD8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
    <w:nsid w:val="7F2C0246"/>
    <w:multiLevelType w:val="multilevel"/>
    <w:tmpl w:val="AD0E6DE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20"/>
  <w:autoHyphenation/>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8B77A6"/>
    <w:rsid w:val="0089328D"/>
    <w:rsid w:val="008B77A6"/>
    <w:rsid w:val="00B6741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449"/>
    <w:rPr>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qFormat/>
    <w:rsid w:val="00637449"/>
    <w:pPr>
      <w:keepNext/>
      <w:jc w:val="right"/>
      <w:outlineLvl w:val="0"/>
    </w:pPr>
    <w:rPr>
      <w:sz w:val="24"/>
    </w:rPr>
  </w:style>
  <w:style w:type="paragraph" w:customStyle="1" w:styleId="Heading2">
    <w:name w:val="Heading 2"/>
    <w:basedOn w:val="a"/>
    <w:next w:val="a"/>
    <w:qFormat/>
    <w:rsid w:val="00637449"/>
    <w:pPr>
      <w:keepNext/>
      <w:tabs>
        <w:tab w:val="left" w:pos="5812"/>
        <w:tab w:val="left" w:pos="7655"/>
      </w:tabs>
      <w:outlineLvl w:val="1"/>
    </w:pPr>
    <w:rPr>
      <w:rFonts w:ascii="Arial" w:hAnsi="Arial"/>
      <w:sz w:val="24"/>
    </w:rPr>
  </w:style>
  <w:style w:type="paragraph" w:customStyle="1" w:styleId="Heading3">
    <w:name w:val="Heading 3"/>
    <w:basedOn w:val="a"/>
    <w:next w:val="a"/>
    <w:qFormat/>
    <w:rsid w:val="00637449"/>
    <w:pPr>
      <w:keepNext/>
      <w:jc w:val="center"/>
      <w:outlineLvl w:val="2"/>
    </w:pPr>
    <w:rPr>
      <w:b/>
      <w:sz w:val="36"/>
    </w:rPr>
  </w:style>
  <w:style w:type="paragraph" w:customStyle="1" w:styleId="Heading4">
    <w:name w:val="Heading 4"/>
    <w:basedOn w:val="a"/>
    <w:next w:val="a"/>
    <w:qFormat/>
    <w:rsid w:val="00637449"/>
    <w:pPr>
      <w:keepNext/>
      <w:jc w:val="center"/>
      <w:outlineLvl w:val="3"/>
    </w:pPr>
    <w:rPr>
      <w:b/>
      <w:sz w:val="16"/>
    </w:rPr>
  </w:style>
  <w:style w:type="paragraph" w:customStyle="1" w:styleId="Heading5">
    <w:name w:val="Heading 5"/>
    <w:basedOn w:val="a"/>
    <w:next w:val="a"/>
    <w:qFormat/>
    <w:rsid w:val="00637449"/>
    <w:pPr>
      <w:keepNext/>
      <w:ind w:firstLine="720"/>
      <w:outlineLvl w:val="4"/>
    </w:pPr>
    <w:rPr>
      <w:rFonts w:ascii="Arial" w:hAnsi="Arial"/>
      <w:sz w:val="24"/>
      <w:u w:val="single"/>
    </w:rPr>
  </w:style>
  <w:style w:type="paragraph" w:customStyle="1" w:styleId="Heading6">
    <w:name w:val="Heading 6"/>
    <w:basedOn w:val="a"/>
    <w:next w:val="a"/>
    <w:qFormat/>
    <w:rsid w:val="00637449"/>
    <w:pPr>
      <w:keepNext/>
      <w:jc w:val="center"/>
      <w:outlineLvl w:val="5"/>
    </w:pPr>
    <w:rPr>
      <w:rFonts w:ascii="Arial" w:hAnsi="Arial"/>
      <w:sz w:val="24"/>
    </w:rPr>
  </w:style>
  <w:style w:type="paragraph" w:customStyle="1" w:styleId="Heading7">
    <w:name w:val="Heading 7"/>
    <w:basedOn w:val="a"/>
    <w:next w:val="a"/>
    <w:qFormat/>
    <w:rsid w:val="00637449"/>
    <w:pPr>
      <w:keepNext/>
      <w:ind w:firstLine="720"/>
      <w:jc w:val="center"/>
      <w:outlineLvl w:val="6"/>
    </w:pPr>
    <w:rPr>
      <w:rFonts w:ascii="Arial" w:hAnsi="Arial"/>
      <w:b/>
      <w:i/>
      <w:sz w:val="28"/>
      <w:u w:val="single"/>
    </w:rPr>
  </w:style>
  <w:style w:type="paragraph" w:customStyle="1" w:styleId="Heading8">
    <w:name w:val="Heading 8"/>
    <w:basedOn w:val="a"/>
    <w:next w:val="a"/>
    <w:qFormat/>
    <w:rsid w:val="00637449"/>
    <w:pPr>
      <w:keepNext/>
      <w:ind w:firstLine="720"/>
      <w:outlineLvl w:val="7"/>
    </w:pPr>
    <w:rPr>
      <w:rFonts w:ascii="Arial" w:hAnsi="Arial"/>
      <w:sz w:val="24"/>
    </w:rPr>
  </w:style>
  <w:style w:type="paragraph" w:customStyle="1" w:styleId="Heading9">
    <w:name w:val="Heading 9"/>
    <w:basedOn w:val="a"/>
    <w:next w:val="a"/>
    <w:qFormat/>
    <w:rsid w:val="00637449"/>
    <w:pPr>
      <w:keepNext/>
      <w:outlineLvl w:val="8"/>
    </w:pPr>
    <w:rPr>
      <w:rFonts w:ascii="Arial" w:hAnsi="Arial"/>
      <w:b/>
      <w:sz w:val="24"/>
      <w:u w:val="single"/>
    </w:rPr>
  </w:style>
  <w:style w:type="character" w:customStyle="1" w:styleId="1">
    <w:name w:val="Προεπιλεγμένη γραμματοσειρά1"/>
    <w:qFormat/>
    <w:rsid w:val="00637449"/>
  </w:style>
  <w:style w:type="character" w:customStyle="1" w:styleId="WW8Num2z0">
    <w:name w:val="WW8Num2z0"/>
    <w:qFormat/>
    <w:rsid w:val="00637449"/>
    <w:rPr>
      <w:rFonts w:ascii="Arial" w:eastAsia="Times New Roman" w:hAnsi="Arial" w:cs="Arial"/>
    </w:rPr>
  </w:style>
  <w:style w:type="character" w:customStyle="1" w:styleId="WW8Num2z1">
    <w:name w:val="WW8Num2z1"/>
    <w:qFormat/>
    <w:rsid w:val="00637449"/>
    <w:rPr>
      <w:rFonts w:ascii="Courier New" w:hAnsi="Courier New" w:cs="Courier New"/>
    </w:rPr>
  </w:style>
  <w:style w:type="character" w:customStyle="1" w:styleId="WW8Num2z2">
    <w:name w:val="WW8Num2z2"/>
    <w:qFormat/>
    <w:rsid w:val="00637449"/>
    <w:rPr>
      <w:rFonts w:ascii="Wingdings" w:hAnsi="Wingdings"/>
    </w:rPr>
  </w:style>
  <w:style w:type="character" w:customStyle="1" w:styleId="WW8Num2z3">
    <w:name w:val="WW8Num2z3"/>
    <w:qFormat/>
    <w:rsid w:val="00637449"/>
    <w:rPr>
      <w:rFonts w:ascii="Symbol" w:hAnsi="Symbol"/>
    </w:rPr>
  </w:style>
  <w:style w:type="character" w:customStyle="1" w:styleId="WW8Num3z0">
    <w:name w:val="WW8Num3z0"/>
    <w:qFormat/>
    <w:rsid w:val="00637449"/>
    <w:rPr>
      <w:b/>
    </w:rPr>
  </w:style>
  <w:style w:type="character" w:customStyle="1" w:styleId="WW8Num5z0">
    <w:name w:val="WW8Num5z0"/>
    <w:qFormat/>
    <w:rsid w:val="00637449"/>
    <w:rPr>
      <w:rFonts w:cs="Times New Roman"/>
    </w:rPr>
  </w:style>
  <w:style w:type="character" w:customStyle="1" w:styleId="WW8Num20z0">
    <w:name w:val="WW8Num20z0"/>
    <w:qFormat/>
    <w:rsid w:val="00637449"/>
    <w:rPr>
      <w:b/>
    </w:rPr>
  </w:style>
  <w:style w:type="character" w:customStyle="1" w:styleId="WW8Num25z0">
    <w:name w:val="WW8Num25z0"/>
    <w:qFormat/>
    <w:rsid w:val="00637449"/>
    <w:rPr>
      <w:rFonts w:ascii="Arial" w:eastAsia="Times New Roman" w:hAnsi="Arial" w:cs="Arial"/>
    </w:rPr>
  </w:style>
  <w:style w:type="character" w:customStyle="1" w:styleId="WW8Num25z1">
    <w:name w:val="WW8Num25z1"/>
    <w:qFormat/>
    <w:rsid w:val="00637449"/>
    <w:rPr>
      <w:rFonts w:ascii="Courier New" w:hAnsi="Courier New" w:cs="Courier New"/>
    </w:rPr>
  </w:style>
  <w:style w:type="character" w:customStyle="1" w:styleId="WW8Num25z2">
    <w:name w:val="WW8Num25z2"/>
    <w:qFormat/>
    <w:rsid w:val="00637449"/>
    <w:rPr>
      <w:rFonts w:ascii="Wingdings" w:hAnsi="Wingdings"/>
    </w:rPr>
  </w:style>
  <w:style w:type="character" w:customStyle="1" w:styleId="WW8Num25z3">
    <w:name w:val="WW8Num25z3"/>
    <w:qFormat/>
    <w:rsid w:val="00637449"/>
    <w:rPr>
      <w:rFonts w:ascii="Symbol" w:hAnsi="Symbol"/>
    </w:rPr>
  </w:style>
  <w:style w:type="character" w:customStyle="1" w:styleId="WW8Num28z0">
    <w:name w:val="WW8Num28z0"/>
    <w:qFormat/>
    <w:rsid w:val="00637449"/>
    <w:rPr>
      <w:rFonts w:ascii="Symbol" w:eastAsia="Times New Roman" w:hAnsi="Symbol"/>
      <w:color w:val="auto"/>
    </w:rPr>
  </w:style>
  <w:style w:type="character" w:customStyle="1" w:styleId="WW8Num28z1">
    <w:name w:val="WW8Num28z1"/>
    <w:qFormat/>
    <w:rsid w:val="00637449"/>
    <w:rPr>
      <w:rFonts w:ascii="Courier New" w:hAnsi="Courier New" w:cs="Courier New"/>
    </w:rPr>
  </w:style>
  <w:style w:type="character" w:customStyle="1" w:styleId="WW8Num28z2">
    <w:name w:val="WW8Num28z2"/>
    <w:qFormat/>
    <w:rsid w:val="00637449"/>
    <w:rPr>
      <w:rFonts w:ascii="Wingdings" w:hAnsi="Wingdings"/>
    </w:rPr>
  </w:style>
  <w:style w:type="character" w:customStyle="1" w:styleId="WW8Num28z3">
    <w:name w:val="WW8Num28z3"/>
    <w:qFormat/>
    <w:rsid w:val="00637449"/>
    <w:rPr>
      <w:rFonts w:ascii="Symbol" w:hAnsi="Symbol"/>
    </w:rPr>
  </w:style>
  <w:style w:type="character" w:customStyle="1" w:styleId="WW8Num31z0">
    <w:name w:val="WW8Num31z0"/>
    <w:qFormat/>
    <w:rsid w:val="00637449"/>
    <w:rPr>
      <w:b/>
    </w:rPr>
  </w:style>
  <w:style w:type="character" w:styleId="a3">
    <w:name w:val="page number"/>
    <w:basedOn w:val="1"/>
    <w:qFormat/>
    <w:rsid w:val="00637449"/>
  </w:style>
  <w:style w:type="character" w:customStyle="1" w:styleId="a4">
    <w:name w:val="Σύνδεσμος διαδικτύου"/>
    <w:basedOn w:val="a0"/>
    <w:uiPriority w:val="99"/>
    <w:unhideWhenUsed/>
    <w:rsid w:val="007F344D"/>
    <w:rPr>
      <w:color w:val="0000FF" w:themeColor="hyperlink"/>
      <w:u w:val="single"/>
    </w:rPr>
  </w:style>
  <w:style w:type="character" w:customStyle="1" w:styleId="a5">
    <w:name w:val="Σύμβολο υποσημείωσης"/>
    <w:qFormat/>
    <w:rsid w:val="00637449"/>
    <w:rPr>
      <w:vertAlign w:val="superscript"/>
    </w:rPr>
  </w:style>
  <w:style w:type="paragraph" w:customStyle="1" w:styleId="a6">
    <w:name w:val="Επικεφαλίδα"/>
    <w:basedOn w:val="a"/>
    <w:next w:val="a7"/>
    <w:qFormat/>
    <w:rsid w:val="00637449"/>
    <w:pPr>
      <w:keepNext/>
      <w:spacing w:before="240" w:after="120"/>
    </w:pPr>
    <w:rPr>
      <w:rFonts w:ascii="Arial" w:eastAsia="Lucida Sans Unicode" w:hAnsi="Arial" w:cs="Tahoma"/>
      <w:sz w:val="28"/>
      <w:szCs w:val="28"/>
    </w:rPr>
  </w:style>
  <w:style w:type="paragraph" w:styleId="a7">
    <w:name w:val="Body Text"/>
    <w:basedOn w:val="a"/>
    <w:rsid w:val="00637449"/>
    <w:pPr>
      <w:spacing w:after="120"/>
    </w:pPr>
  </w:style>
  <w:style w:type="paragraph" w:styleId="a8">
    <w:name w:val="List"/>
    <w:basedOn w:val="a7"/>
    <w:rsid w:val="00637449"/>
    <w:rPr>
      <w:rFonts w:cs="Tahoma"/>
    </w:rPr>
  </w:style>
  <w:style w:type="paragraph" w:customStyle="1" w:styleId="Caption">
    <w:name w:val="Caption"/>
    <w:basedOn w:val="a"/>
    <w:qFormat/>
    <w:rsid w:val="00637449"/>
    <w:pPr>
      <w:suppressLineNumbers/>
      <w:spacing w:before="120" w:after="120"/>
    </w:pPr>
    <w:rPr>
      <w:rFonts w:cs="Lucida Sans"/>
      <w:i/>
      <w:iCs/>
      <w:sz w:val="24"/>
      <w:szCs w:val="24"/>
    </w:rPr>
  </w:style>
  <w:style w:type="paragraph" w:customStyle="1" w:styleId="a9">
    <w:name w:val="Ευρετήριο"/>
    <w:basedOn w:val="a"/>
    <w:qFormat/>
    <w:rsid w:val="00637449"/>
    <w:pPr>
      <w:suppressLineNumbers/>
    </w:pPr>
    <w:rPr>
      <w:rFonts w:cs="Tahoma"/>
    </w:rPr>
  </w:style>
  <w:style w:type="paragraph" w:customStyle="1" w:styleId="10">
    <w:name w:val="Λεζάντα1"/>
    <w:basedOn w:val="a"/>
    <w:qFormat/>
    <w:rsid w:val="00637449"/>
    <w:pPr>
      <w:suppressLineNumbers/>
      <w:spacing w:before="120" w:after="120"/>
    </w:pPr>
    <w:rPr>
      <w:rFonts w:cs="Tahoma"/>
      <w:i/>
      <w:iCs/>
      <w:sz w:val="24"/>
      <w:szCs w:val="24"/>
    </w:rPr>
  </w:style>
  <w:style w:type="paragraph" w:styleId="aa">
    <w:name w:val="Body Text Indent"/>
    <w:basedOn w:val="a"/>
    <w:rsid w:val="00637449"/>
    <w:pPr>
      <w:ind w:firstLine="720"/>
    </w:pPr>
    <w:rPr>
      <w:rFonts w:ascii="Arial" w:hAnsi="Arial"/>
      <w:sz w:val="24"/>
    </w:rPr>
  </w:style>
  <w:style w:type="paragraph" w:customStyle="1" w:styleId="ab">
    <w:name w:val="Κεφαλίδα και υποσέλιδο"/>
    <w:basedOn w:val="a"/>
    <w:qFormat/>
    <w:rsid w:val="00637449"/>
  </w:style>
  <w:style w:type="paragraph" w:customStyle="1" w:styleId="Footer">
    <w:name w:val="Footer"/>
    <w:basedOn w:val="a"/>
    <w:rsid w:val="00637449"/>
    <w:pPr>
      <w:tabs>
        <w:tab w:val="center" w:pos="4153"/>
        <w:tab w:val="right" w:pos="8306"/>
      </w:tabs>
    </w:pPr>
  </w:style>
  <w:style w:type="paragraph" w:customStyle="1" w:styleId="Header">
    <w:name w:val="Header"/>
    <w:basedOn w:val="a"/>
    <w:rsid w:val="00637449"/>
    <w:pPr>
      <w:tabs>
        <w:tab w:val="center" w:pos="4153"/>
        <w:tab w:val="right" w:pos="8306"/>
      </w:tabs>
    </w:pPr>
  </w:style>
  <w:style w:type="paragraph" w:customStyle="1" w:styleId="11">
    <w:name w:val="Κείμενο πλαισίου1"/>
    <w:basedOn w:val="a"/>
    <w:qFormat/>
    <w:rsid w:val="00637449"/>
    <w:rPr>
      <w:rFonts w:ascii="Tahoma" w:hAnsi="Tahoma" w:cs="Tahoma"/>
      <w:sz w:val="16"/>
      <w:szCs w:val="16"/>
    </w:rPr>
  </w:style>
  <w:style w:type="paragraph" w:customStyle="1" w:styleId="FootnoteText">
    <w:name w:val="Footnote Text"/>
    <w:basedOn w:val="a"/>
    <w:rsid w:val="00637449"/>
  </w:style>
  <w:style w:type="paragraph" w:customStyle="1" w:styleId="12">
    <w:name w:val="Χάρτης εγγράφου1"/>
    <w:basedOn w:val="a"/>
    <w:qFormat/>
    <w:rsid w:val="00637449"/>
    <w:pPr>
      <w:shd w:val="clear" w:color="auto" w:fill="000080"/>
    </w:pPr>
    <w:rPr>
      <w:rFonts w:ascii="Tahoma" w:hAnsi="Tahoma" w:cs="Tahoma"/>
    </w:rPr>
  </w:style>
  <w:style w:type="paragraph" w:customStyle="1" w:styleId="ac">
    <w:name w:val="Περιεχόμενα πίνακα"/>
    <w:basedOn w:val="a"/>
    <w:qFormat/>
    <w:rsid w:val="00637449"/>
    <w:pPr>
      <w:suppressLineNumbers/>
    </w:pPr>
  </w:style>
  <w:style w:type="paragraph" w:customStyle="1" w:styleId="ad">
    <w:name w:val="Επικεφαλίδα πίνακα"/>
    <w:basedOn w:val="ac"/>
    <w:qFormat/>
    <w:rsid w:val="00637449"/>
    <w:pPr>
      <w:jc w:val="center"/>
    </w:pPr>
    <w:rPr>
      <w:b/>
      <w:bCs/>
    </w:rPr>
  </w:style>
  <w:style w:type="paragraph" w:customStyle="1" w:styleId="ae">
    <w:name w:val="Περιεχόμενα πλαισίου"/>
    <w:basedOn w:val="a7"/>
    <w:qFormat/>
    <w:rsid w:val="00637449"/>
  </w:style>
  <w:style w:type="paragraph" w:customStyle="1" w:styleId="Default">
    <w:name w:val="Default"/>
    <w:qFormat/>
    <w:rsid w:val="00014BBC"/>
    <w:rPr>
      <w:rFonts w:ascii="Verdana" w:eastAsia="Calibri" w:hAnsi="Verdana" w:cs="Verdana"/>
      <w:color w:val="000000"/>
      <w:sz w:val="24"/>
      <w:szCs w:val="24"/>
      <w:lang w:eastAsia="en-US"/>
    </w:rPr>
  </w:style>
  <w:style w:type="paragraph" w:styleId="af">
    <w:name w:val="List Paragraph"/>
    <w:basedOn w:val="a"/>
    <w:uiPriority w:val="34"/>
    <w:qFormat/>
    <w:rsid w:val="007F344D"/>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emdydas.kdt@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1085</Words>
  <Characters>5864</Characters>
  <Application>Microsoft Office Word</Application>
  <DocSecurity>0</DocSecurity>
  <Lines>48</Lines>
  <Paragraphs>13</Paragraphs>
  <ScaleCrop>false</ScaleCrop>
  <Company>HP Inc.</Company>
  <LinksUpToDate>false</LinksUpToDate>
  <CharactersWithSpaces>6936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dc:title>
  <dc:creator>EMDYDAS</dc:creator>
  <cp:lastModifiedBy>user</cp:lastModifiedBy>
  <cp:revision>2</cp:revision>
  <cp:lastPrinted>2024-03-21T05:50:00Z</cp:lastPrinted>
  <dcterms:created xsi:type="dcterms:W3CDTF">2024-04-12T09:52:00Z</dcterms:created>
  <dcterms:modified xsi:type="dcterms:W3CDTF">2024-04-12T09:52:00Z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HP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