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jc w:val="center"/>
        <w:tblBorders>
          <w:top w:val="single" w:sz="6" w:space="0" w:color="auto"/>
          <w:left w:val="single" w:sz="6" w:space="0" w:color="auto"/>
          <w:bottom w:val="single" w:sz="24" w:space="0" w:color="auto"/>
          <w:right w:val="single" w:sz="24" w:space="0" w:color="auto"/>
        </w:tblBorders>
        <w:tblLayout w:type="fixed"/>
        <w:tblLook w:val="0000" w:firstRow="0" w:lastRow="0" w:firstColumn="0" w:lastColumn="0" w:noHBand="0" w:noVBand="0"/>
      </w:tblPr>
      <w:tblGrid>
        <w:gridCol w:w="9426"/>
      </w:tblGrid>
      <w:tr w:rsidR="00F41BAE" w:rsidTr="00283250">
        <w:trPr>
          <w:trHeight w:val="1411"/>
          <w:jc w:val="center"/>
        </w:trPr>
        <w:tc>
          <w:tcPr>
            <w:tcW w:w="9426" w:type="dxa"/>
            <w:tcBorders>
              <w:top w:val="single" w:sz="6" w:space="0" w:color="auto"/>
              <w:bottom w:val="single" w:sz="24" w:space="0" w:color="auto"/>
            </w:tcBorders>
            <w:shd w:val="pct10" w:color="auto" w:fill="FFFFFF"/>
          </w:tcPr>
          <w:p w:rsidR="00F41BAE" w:rsidRDefault="00F41BAE" w:rsidP="00283250">
            <w:pPr>
              <w:jc w:val="center"/>
              <w:rPr>
                <w:b/>
                <w:spacing w:val="40"/>
                <w:sz w:val="44"/>
              </w:rPr>
            </w:pPr>
            <w:r>
              <w:rPr>
                <w:b/>
                <w:spacing w:val="40"/>
                <w:sz w:val="72"/>
              </w:rPr>
              <w:t>Π.Ο.   Ε.Μ.Δ.Υ.Δ.Α.Σ.</w:t>
            </w:r>
          </w:p>
          <w:p w:rsidR="00F41BAE" w:rsidRPr="00625B6E" w:rsidRDefault="00F41BAE" w:rsidP="00283250">
            <w:pPr>
              <w:jc w:val="center"/>
              <w:rPr>
                <w:b/>
                <w:spacing w:val="40"/>
              </w:rPr>
            </w:pPr>
            <w:r w:rsidRPr="00625B6E">
              <w:rPr>
                <w:b/>
                <w:spacing w:val="40"/>
              </w:rPr>
              <w:t>Π</w:t>
            </w:r>
            <w:r w:rsidRPr="00625B6E">
              <w:rPr>
                <w:spacing w:val="40"/>
              </w:rPr>
              <w:t>ΑΝΕΛΛΗΝΙΑ</w:t>
            </w:r>
            <w:r w:rsidRPr="00625B6E">
              <w:rPr>
                <w:b/>
                <w:spacing w:val="40"/>
              </w:rPr>
              <w:t xml:space="preserve">  Ο</w:t>
            </w:r>
            <w:r w:rsidRPr="00625B6E">
              <w:rPr>
                <w:spacing w:val="40"/>
              </w:rPr>
              <w:t>ΜΟΣΠΟΝΔΙΑ</w:t>
            </w:r>
          </w:p>
          <w:p w:rsidR="00F41BAE" w:rsidRDefault="00F41BAE" w:rsidP="00283250">
            <w:pPr>
              <w:pStyle w:val="Heading4"/>
              <w:rPr>
                <w:b w:val="0"/>
                <w:sz w:val="20"/>
              </w:rPr>
            </w:pPr>
            <w:r w:rsidRPr="00625B6E">
              <w:rPr>
                <w:sz w:val="20"/>
              </w:rPr>
              <w:t>Ε</w:t>
            </w:r>
            <w:r w:rsidRPr="00625B6E">
              <w:rPr>
                <w:b w:val="0"/>
                <w:sz w:val="20"/>
              </w:rPr>
              <w:t xml:space="preserve">ΝΩΣΕΩΝ  </w:t>
            </w:r>
            <w:r w:rsidRPr="00625B6E">
              <w:rPr>
                <w:sz w:val="20"/>
              </w:rPr>
              <w:t>Μ</w:t>
            </w:r>
            <w:r w:rsidRPr="00625B6E">
              <w:rPr>
                <w:b w:val="0"/>
                <w:sz w:val="20"/>
              </w:rPr>
              <w:t xml:space="preserve">ΗΧΑΝΙΚΩΝ  </w:t>
            </w:r>
            <w:r w:rsidRPr="00625B6E">
              <w:rPr>
                <w:sz w:val="20"/>
              </w:rPr>
              <w:t>Δ</w:t>
            </w:r>
            <w:r w:rsidRPr="00625B6E">
              <w:rPr>
                <w:b w:val="0"/>
                <w:sz w:val="20"/>
              </w:rPr>
              <w:t xml:space="preserve">ΗΜΟΣΙΩΝ  </w:t>
            </w:r>
            <w:r w:rsidRPr="00625B6E">
              <w:rPr>
                <w:sz w:val="20"/>
              </w:rPr>
              <w:t>Υ</w:t>
            </w:r>
            <w:r w:rsidRPr="00625B6E">
              <w:rPr>
                <w:b w:val="0"/>
                <w:sz w:val="20"/>
              </w:rPr>
              <w:t xml:space="preserve">ΠΑΛΛΗΛΩΝ  </w:t>
            </w:r>
            <w:r w:rsidRPr="00625B6E">
              <w:rPr>
                <w:sz w:val="20"/>
              </w:rPr>
              <w:t>Δ</w:t>
            </w:r>
            <w:r w:rsidRPr="00625B6E">
              <w:rPr>
                <w:b w:val="0"/>
                <w:sz w:val="20"/>
              </w:rPr>
              <w:t>ΙΠΛΩΜΑΤΟΥΧΩΝ</w:t>
            </w:r>
            <w:r w:rsidRPr="00625B6E">
              <w:rPr>
                <w:sz w:val="20"/>
              </w:rPr>
              <w:t xml:space="preserve">  Α</w:t>
            </w:r>
            <w:r w:rsidRPr="00625B6E">
              <w:rPr>
                <w:b w:val="0"/>
                <w:sz w:val="20"/>
              </w:rPr>
              <w:t xml:space="preserve">ΝΩΤΑΤΩΝ  </w:t>
            </w:r>
            <w:r w:rsidRPr="00625B6E">
              <w:rPr>
                <w:sz w:val="20"/>
              </w:rPr>
              <w:t>Σ</w:t>
            </w:r>
            <w:r w:rsidRPr="00625B6E">
              <w:rPr>
                <w:b w:val="0"/>
                <w:sz w:val="20"/>
              </w:rPr>
              <w:t>ΧΟΛΩΝ</w:t>
            </w:r>
          </w:p>
        </w:tc>
      </w:tr>
    </w:tbl>
    <w:p w:rsidR="00F41BAE" w:rsidRDefault="00F41BAE" w:rsidP="00D636A7">
      <w:pPr>
        <w:spacing w:before="40" w:after="40"/>
        <w:jc w:val="center"/>
        <w:rPr>
          <w:rFonts w:ascii="Tahoma" w:hAnsi="Tahoma" w:cs="Tahoma"/>
          <w:sz w:val="22"/>
          <w:szCs w:val="22"/>
        </w:rPr>
      </w:pPr>
      <w:r w:rsidRPr="00FE74C3">
        <w:rPr>
          <w:rFonts w:ascii="Tahoma" w:hAnsi="Tahoma" w:cs="Tahoma"/>
          <w:sz w:val="22"/>
          <w:szCs w:val="22"/>
        </w:rPr>
        <w:t>Μαυρομματαίων 17,  104 34  ΑΘΗΝΑ</w:t>
      </w:r>
    </w:p>
    <w:p w:rsidR="00F41BAE" w:rsidRPr="00C60376" w:rsidRDefault="00F41BAE" w:rsidP="00D636A7">
      <w:pPr>
        <w:spacing w:before="40" w:after="40"/>
        <w:ind w:left="-540" w:right="-514"/>
        <w:jc w:val="center"/>
        <w:rPr>
          <w:rFonts w:ascii="Tahoma" w:hAnsi="Tahoma" w:cs="Tahoma"/>
          <w:sz w:val="22"/>
          <w:szCs w:val="22"/>
        </w:rPr>
      </w:pPr>
      <w:r w:rsidRPr="00FE74C3">
        <w:rPr>
          <w:rFonts w:ascii="Tahoma" w:hAnsi="Tahoma" w:cs="Tahoma"/>
          <w:b/>
          <w:sz w:val="22"/>
          <w:szCs w:val="22"/>
        </w:rPr>
        <w:t>τηλ</w:t>
      </w:r>
      <w:r w:rsidRPr="00C60376">
        <w:rPr>
          <w:rFonts w:ascii="Tahoma" w:hAnsi="Tahoma" w:cs="Tahoma"/>
          <w:b/>
          <w:sz w:val="22"/>
          <w:szCs w:val="22"/>
        </w:rPr>
        <w:t>:</w:t>
      </w:r>
      <w:r w:rsidRPr="00C60376">
        <w:rPr>
          <w:rFonts w:ascii="Tahoma" w:hAnsi="Tahoma" w:cs="Tahoma"/>
          <w:sz w:val="22"/>
          <w:szCs w:val="22"/>
        </w:rPr>
        <w:t xml:space="preserve"> 210-88.16.583  </w:t>
      </w:r>
      <w:r w:rsidRPr="00FE74C3">
        <w:rPr>
          <w:rFonts w:ascii="Tahoma" w:hAnsi="Tahoma" w:cs="Tahoma"/>
          <w:b/>
          <w:sz w:val="22"/>
          <w:szCs w:val="22"/>
          <w:lang w:val="en-US"/>
        </w:rPr>
        <w:t>fax</w:t>
      </w:r>
      <w:r w:rsidRPr="00C60376">
        <w:rPr>
          <w:rFonts w:ascii="Tahoma" w:hAnsi="Tahoma" w:cs="Tahoma"/>
          <w:b/>
          <w:sz w:val="22"/>
          <w:szCs w:val="22"/>
        </w:rPr>
        <w:t>:</w:t>
      </w:r>
      <w:r w:rsidRPr="00C60376">
        <w:rPr>
          <w:rFonts w:ascii="Tahoma" w:hAnsi="Tahoma" w:cs="Tahoma"/>
          <w:sz w:val="22"/>
          <w:szCs w:val="22"/>
        </w:rPr>
        <w:t xml:space="preserve"> 210-82.59.410 </w:t>
      </w:r>
      <w:r w:rsidRPr="00FE74C3">
        <w:rPr>
          <w:rFonts w:ascii="Tahoma" w:hAnsi="Tahoma" w:cs="Tahoma"/>
          <w:b/>
          <w:sz w:val="22"/>
          <w:szCs w:val="22"/>
          <w:lang w:val="en-US"/>
        </w:rPr>
        <w:t>e</w:t>
      </w:r>
      <w:r w:rsidRPr="00C60376">
        <w:rPr>
          <w:rFonts w:ascii="Tahoma" w:hAnsi="Tahoma" w:cs="Tahoma"/>
          <w:b/>
          <w:sz w:val="22"/>
          <w:szCs w:val="22"/>
        </w:rPr>
        <w:t>-</w:t>
      </w:r>
      <w:r w:rsidRPr="00FE74C3">
        <w:rPr>
          <w:rFonts w:ascii="Tahoma" w:hAnsi="Tahoma" w:cs="Tahoma"/>
          <w:b/>
          <w:sz w:val="22"/>
          <w:szCs w:val="22"/>
          <w:lang w:val="en-US"/>
        </w:rPr>
        <w:t>mail</w:t>
      </w:r>
      <w:r w:rsidRPr="00C60376">
        <w:rPr>
          <w:rFonts w:ascii="Tahoma" w:hAnsi="Tahoma" w:cs="Tahoma"/>
          <w:b/>
          <w:sz w:val="22"/>
          <w:szCs w:val="22"/>
        </w:rPr>
        <w:t>:</w:t>
      </w:r>
      <w:r w:rsidRPr="00C60376">
        <w:rPr>
          <w:rFonts w:ascii="Tahoma" w:hAnsi="Tahoma" w:cs="Tahoma"/>
          <w:sz w:val="22"/>
          <w:szCs w:val="22"/>
        </w:rPr>
        <w:t xml:space="preserve"> </w:t>
      </w:r>
      <w:hyperlink r:id="rId5" w:history="1">
        <w:r w:rsidRPr="00FE74C3">
          <w:rPr>
            <w:rStyle w:val="Hyperlink"/>
            <w:rFonts w:ascii="Tahoma" w:hAnsi="Tahoma" w:cs="Tahoma"/>
            <w:sz w:val="22"/>
            <w:szCs w:val="22"/>
            <w:lang w:val="en-GB"/>
          </w:rPr>
          <w:t>emdydas</w:t>
        </w:r>
        <w:r w:rsidRPr="00C60376">
          <w:rPr>
            <w:rStyle w:val="Hyperlink"/>
            <w:rFonts w:ascii="Tahoma" w:hAnsi="Tahoma" w:cs="Tahoma"/>
            <w:sz w:val="22"/>
            <w:szCs w:val="22"/>
          </w:rPr>
          <w:t>@</w:t>
        </w:r>
        <w:r w:rsidRPr="00FE74C3">
          <w:rPr>
            <w:rStyle w:val="Hyperlink"/>
            <w:rFonts w:ascii="Tahoma" w:hAnsi="Tahoma" w:cs="Tahoma"/>
            <w:sz w:val="22"/>
            <w:szCs w:val="22"/>
            <w:lang w:val="en-GB"/>
          </w:rPr>
          <w:t>tee</w:t>
        </w:r>
        <w:r w:rsidRPr="00C60376">
          <w:rPr>
            <w:rStyle w:val="Hyperlink"/>
            <w:rFonts w:ascii="Tahoma" w:hAnsi="Tahoma" w:cs="Tahoma"/>
            <w:sz w:val="22"/>
            <w:szCs w:val="22"/>
          </w:rPr>
          <w:t>.</w:t>
        </w:r>
        <w:r w:rsidRPr="00FE74C3">
          <w:rPr>
            <w:rStyle w:val="Hyperlink"/>
            <w:rFonts w:ascii="Tahoma" w:hAnsi="Tahoma" w:cs="Tahoma"/>
            <w:sz w:val="22"/>
            <w:szCs w:val="22"/>
            <w:lang w:val="en-GB"/>
          </w:rPr>
          <w:t>gr</w:t>
        </w:r>
      </w:hyperlink>
      <w:r w:rsidRPr="00C60376">
        <w:rPr>
          <w:rFonts w:ascii="Tahoma" w:hAnsi="Tahoma" w:cs="Tahoma"/>
          <w:color w:val="000000"/>
          <w:sz w:val="22"/>
          <w:szCs w:val="22"/>
        </w:rPr>
        <w:t xml:space="preserve"> </w:t>
      </w:r>
      <w:r w:rsidRPr="00FE74C3">
        <w:rPr>
          <w:rFonts w:ascii="Tahoma" w:hAnsi="Tahoma" w:cs="Tahoma"/>
          <w:b/>
          <w:sz w:val="22"/>
          <w:szCs w:val="22"/>
          <w:lang w:val="en-US"/>
        </w:rPr>
        <w:t>URL</w:t>
      </w:r>
      <w:r w:rsidRPr="00C60376">
        <w:rPr>
          <w:rFonts w:ascii="Tahoma" w:hAnsi="Tahoma" w:cs="Tahoma"/>
          <w:b/>
          <w:sz w:val="22"/>
          <w:szCs w:val="22"/>
        </w:rPr>
        <w:t>:</w:t>
      </w:r>
      <w:r w:rsidRPr="00C60376">
        <w:rPr>
          <w:rFonts w:ascii="Tahoma" w:hAnsi="Tahoma" w:cs="Tahoma"/>
          <w:sz w:val="22"/>
          <w:szCs w:val="22"/>
        </w:rPr>
        <w:t xml:space="preserve"> </w:t>
      </w:r>
      <w:hyperlink r:id="rId6" w:history="1">
        <w:r w:rsidRPr="00FE74C3">
          <w:rPr>
            <w:rStyle w:val="Hyperlink"/>
            <w:rFonts w:ascii="Tahoma" w:hAnsi="Tahoma" w:cs="Tahoma"/>
            <w:sz w:val="22"/>
            <w:szCs w:val="22"/>
            <w:lang w:val="en-US"/>
          </w:rPr>
          <w:t>www</w:t>
        </w:r>
        <w:r w:rsidRPr="00C60376">
          <w:rPr>
            <w:rStyle w:val="Hyperlink"/>
            <w:rFonts w:ascii="Tahoma" w:hAnsi="Tahoma" w:cs="Tahoma"/>
            <w:sz w:val="22"/>
            <w:szCs w:val="22"/>
          </w:rPr>
          <w:t>.</w:t>
        </w:r>
        <w:r w:rsidRPr="00FE74C3">
          <w:rPr>
            <w:rStyle w:val="Hyperlink"/>
            <w:rFonts w:ascii="Tahoma" w:hAnsi="Tahoma" w:cs="Tahoma"/>
            <w:sz w:val="22"/>
            <w:szCs w:val="22"/>
            <w:lang w:val="en-US"/>
          </w:rPr>
          <w:t>emdydas</w:t>
        </w:r>
        <w:r w:rsidRPr="00C60376">
          <w:rPr>
            <w:rStyle w:val="Hyperlink"/>
            <w:rFonts w:ascii="Tahoma" w:hAnsi="Tahoma" w:cs="Tahoma"/>
            <w:sz w:val="22"/>
            <w:szCs w:val="22"/>
          </w:rPr>
          <w:t>.</w:t>
        </w:r>
        <w:r w:rsidRPr="00FE74C3">
          <w:rPr>
            <w:rStyle w:val="Hyperlink"/>
            <w:rFonts w:ascii="Tahoma" w:hAnsi="Tahoma" w:cs="Tahoma"/>
            <w:sz w:val="22"/>
            <w:szCs w:val="22"/>
            <w:lang w:val="en-US"/>
          </w:rPr>
          <w:t>gr</w:t>
        </w:r>
      </w:hyperlink>
    </w:p>
    <w:p w:rsidR="003F335E" w:rsidRDefault="00F41BAE" w:rsidP="00D636A7">
      <w:pPr>
        <w:pStyle w:val="BodyTextIndent"/>
        <w:spacing w:before="120"/>
        <w:ind w:firstLine="0"/>
        <w:jc w:val="right"/>
        <w:rPr>
          <w:rFonts w:ascii="Tahoma" w:hAnsi="Tahoma" w:cs="Tahoma"/>
          <w:color w:val="FF0000"/>
          <w:szCs w:val="24"/>
        </w:rPr>
      </w:pPr>
      <w:r w:rsidRPr="00442477">
        <w:rPr>
          <w:rFonts w:ascii="Tahoma" w:hAnsi="Tahoma" w:cs="Tahoma"/>
          <w:color w:val="FF0000"/>
          <w:szCs w:val="24"/>
        </w:rPr>
        <w:tab/>
      </w:r>
      <w:r w:rsidRPr="00442477">
        <w:rPr>
          <w:rFonts w:ascii="Tahoma" w:hAnsi="Tahoma" w:cs="Tahoma"/>
          <w:color w:val="FF0000"/>
          <w:szCs w:val="24"/>
        </w:rPr>
        <w:tab/>
      </w:r>
      <w:r w:rsidRPr="00442477">
        <w:rPr>
          <w:rFonts w:ascii="Tahoma" w:hAnsi="Tahoma" w:cs="Tahoma"/>
          <w:color w:val="FF0000"/>
          <w:szCs w:val="24"/>
        </w:rPr>
        <w:tab/>
      </w:r>
      <w:r w:rsidRPr="00442477">
        <w:rPr>
          <w:rFonts w:ascii="Tahoma" w:hAnsi="Tahoma" w:cs="Tahoma"/>
          <w:color w:val="FF0000"/>
          <w:szCs w:val="24"/>
        </w:rPr>
        <w:tab/>
      </w:r>
      <w:r w:rsidRPr="00442477">
        <w:rPr>
          <w:rFonts w:ascii="Tahoma" w:hAnsi="Tahoma" w:cs="Tahoma"/>
          <w:color w:val="FF0000"/>
          <w:szCs w:val="24"/>
        </w:rPr>
        <w:tab/>
      </w:r>
      <w:r w:rsidRPr="00442477">
        <w:rPr>
          <w:rFonts w:ascii="Tahoma" w:hAnsi="Tahoma" w:cs="Tahoma"/>
          <w:color w:val="FF0000"/>
          <w:szCs w:val="24"/>
        </w:rPr>
        <w:tab/>
      </w:r>
      <w:r w:rsidRPr="00442477">
        <w:rPr>
          <w:rFonts w:ascii="Tahoma" w:hAnsi="Tahoma" w:cs="Tahoma"/>
          <w:color w:val="FF0000"/>
          <w:szCs w:val="24"/>
        </w:rPr>
        <w:tab/>
      </w:r>
      <w:r w:rsidRPr="00442477">
        <w:rPr>
          <w:rFonts w:ascii="Tahoma" w:hAnsi="Tahoma" w:cs="Tahoma"/>
          <w:color w:val="FF0000"/>
          <w:szCs w:val="24"/>
        </w:rPr>
        <w:tab/>
      </w:r>
    </w:p>
    <w:p w:rsidR="00F41BAE" w:rsidRPr="00940700" w:rsidRDefault="00F41BAE" w:rsidP="00D636A7">
      <w:pPr>
        <w:pStyle w:val="BodyTextIndent"/>
        <w:spacing w:before="120"/>
        <w:ind w:firstLine="0"/>
        <w:jc w:val="right"/>
        <w:rPr>
          <w:rFonts w:ascii="Tahoma" w:hAnsi="Tahoma" w:cs="Tahoma"/>
        </w:rPr>
      </w:pPr>
      <w:r w:rsidRPr="00940700">
        <w:rPr>
          <w:rFonts w:ascii="Tahoma" w:hAnsi="Tahoma" w:cs="Tahoma"/>
          <w:b/>
        </w:rPr>
        <w:t xml:space="preserve">Αθήνα, </w:t>
      </w:r>
      <w:r w:rsidR="00940700">
        <w:rPr>
          <w:rFonts w:ascii="Tahoma" w:hAnsi="Tahoma" w:cs="Tahoma"/>
        </w:rPr>
        <w:t>1</w:t>
      </w:r>
      <w:r w:rsidR="00D963A3">
        <w:rPr>
          <w:rFonts w:ascii="Tahoma" w:hAnsi="Tahoma" w:cs="Tahoma"/>
        </w:rPr>
        <w:t>5</w:t>
      </w:r>
      <w:r w:rsidRPr="00940700">
        <w:rPr>
          <w:rFonts w:ascii="Tahoma" w:hAnsi="Tahoma" w:cs="Tahoma"/>
        </w:rPr>
        <w:t>-2-2018</w:t>
      </w:r>
    </w:p>
    <w:p w:rsidR="00F41BAE" w:rsidRPr="00940700" w:rsidRDefault="00F41BAE" w:rsidP="00D636A7">
      <w:pPr>
        <w:pStyle w:val="BodyTextIndent"/>
        <w:tabs>
          <w:tab w:val="left" w:pos="4395"/>
        </w:tabs>
        <w:spacing w:before="120"/>
        <w:ind w:firstLine="0"/>
        <w:rPr>
          <w:rFonts w:ascii="Tahoma" w:hAnsi="Tahoma" w:cs="Tahoma"/>
        </w:rPr>
      </w:pPr>
      <w:r w:rsidRPr="00940700">
        <w:rPr>
          <w:rFonts w:ascii="Tahoma" w:hAnsi="Tahoma" w:cs="Tahoma"/>
          <w:b/>
        </w:rPr>
        <w:t xml:space="preserve">Αρ. </w:t>
      </w:r>
      <w:proofErr w:type="spellStart"/>
      <w:r w:rsidRPr="00940700">
        <w:rPr>
          <w:rFonts w:ascii="Tahoma" w:hAnsi="Tahoma" w:cs="Tahoma"/>
          <w:b/>
        </w:rPr>
        <w:t>Πρωτ</w:t>
      </w:r>
      <w:proofErr w:type="spellEnd"/>
      <w:r w:rsidRPr="00940700">
        <w:rPr>
          <w:rFonts w:ascii="Tahoma" w:hAnsi="Tahoma" w:cs="Tahoma"/>
          <w:b/>
        </w:rPr>
        <w:t>.:</w:t>
      </w:r>
      <w:r w:rsidR="00D963A3">
        <w:rPr>
          <w:rFonts w:ascii="Tahoma" w:hAnsi="Tahoma" w:cs="Tahoma"/>
          <w:b/>
        </w:rPr>
        <w:t xml:space="preserve"> </w:t>
      </w:r>
      <w:r w:rsidR="00D963A3" w:rsidRPr="009A6572">
        <w:rPr>
          <w:rFonts w:ascii="Tahoma" w:hAnsi="Tahoma" w:cs="Tahoma"/>
        </w:rPr>
        <w:t>7293</w:t>
      </w:r>
      <w:r w:rsidRPr="00940700">
        <w:rPr>
          <w:rFonts w:ascii="Tahoma" w:hAnsi="Tahoma" w:cs="Tahoma"/>
        </w:rPr>
        <w:tab/>
      </w:r>
      <w:r w:rsidRPr="00940700">
        <w:rPr>
          <w:rFonts w:ascii="Tahoma" w:hAnsi="Tahoma" w:cs="Tahoma"/>
        </w:rPr>
        <w:tab/>
      </w:r>
      <w:r w:rsidRPr="00940700">
        <w:rPr>
          <w:rFonts w:ascii="Tahoma" w:hAnsi="Tahoma" w:cs="Tahoma"/>
        </w:rPr>
        <w:tab/>
      </w:r>
    </w:p>
    <w:p w:rsidR="00ED269A" w:rsidRDefault="00ED269A" w:rsidP="00E132FA">
      <w:pPr>
        <w:pStyle w:val="BodyTextIndent"/>
        <w:ind w:firstLine="0"/>
        <w:jc w:val="center"/>
        <w:rPr>
          <w:rFonts w:ascii="Tahoma" w:hAnsi="Tahoma" w:cs="Tahoma"/>
          <w:b/>
          <w:u w:val="single"/>
        </w:rPr>
      </w:pPr>
    </w:p>
    <w:p w:rsidR="00F41BAE" w:rsidRDefault="00E132FA" w:rsidP="00E132FA">
      <w:pPr>
        <w:pStyle w:val="BodyTextIndent"/>
        <w:ind w:firstLine="0"/>
        <w:jc w:val="center"/>
        <w:rPr>
          <w:rFonts w:ascii="Tahoma" w:hAnsi="Tahoma" w:cs="Tahoma"/>
          <w:b/>
          <w:u w:val="single"/>
        </w:rPr>
      </w:pPr>
      <w:r>
        <w:rPr>
          <w:rFonts w:ascii="Tahoma" w:hAnsi="Tahoma" w:cs="Tahoma"/>
          <w:b/>
          <w:u w:val="single"/>
        </w:rPr>
        <w:t>ΑΝΑΚΟΙΝΩΣΗ</w:t>
      </w:r>
      <w:r w:rsidR="00940700">
        <w:rPr>
          <w:rFonts w:ascii="Tahoma" w:hAnsi="Tahoma" w:cs="Tahoma"/>
          <w:b/>
          <w:u w:val="single"/>
        </w:rPr>
        <w:t xml:space="preserve"> ΣΧΕΤΙΚΑ ΜΕ </w:t>
      </w:r>
      <w:r w:rsidR="00ED269A">
        <w:rPr>
          <w:rFonts w:ascii="Tahoma" w:hAnsi="Tahoma" w:cs="Tahoma"/>
          <w:b/>
          <w:u w:val="single"/>
        </w:rPr>
        <w:t>ΤΟ «ΞΕΠΑΓΩΜΑ» ΤΩΝ ΜΙΣΘΟΛΟΓΙΚΩΝ ΚΛΙΜΑΚΙΩΝ</w:t>
      </w:r>
    </w:p>
    <w:p w:rsidR="00E132FA" w:rsidRDefault="00E132FA" w:rsidP="00E132FA">
      <w:pPr>
        <w:pStyle w:val="BodyTextIndent"/>
        <w:ind w:firstLine="0"/>
        <w:jc w:val="center"/>
        <w:rPr>
          <w:rFonts w:ascii="Tahoma" w:hAnsi="Tahoma" w:cs="Tahoma"/>
          <w:b/>
          <w:u w:val="single"/>
        </w:rPr>
      </w:pPr>
    </w:p>
    <w:p w:rsidR="00E132FA" w:rsidRDefault="00E132FA" w:rsidP="00E132FA">
      <w:pPr>
        <w:pStyle w:val="BodyTextIndent"/>
        <w:ind w:firstLine="0"/>
        <w:jc w:val="both"/>
        <w:rPr>
          <w:rFonts w:ascii="Tahoma" w:hAnsi="Tahoma" w:cs="Tahoma"/>
        </w:rPr>
      </w:pPr>
      <w:r>
        <w:rPr>
          <w:rFonts w:ascii="Tahoma" w:hAnsi="Tahoma" w:cs="Tahoma"/>
        </w:rPr>
        <w:t>Συνάδελφοι</w:t>
      </w:r>
    </w:p>
    <w:p w:rsidR="00E132FA" w:rsidRDefault="00E132FA" w:rsidP="00E132FA">
      <w:pPr>
        <w:pStyle w:val="BodyTextIndent"/>
        <w:ind w:firstLine="0"/>
        <w:jc w:val="both"/>
        <w:rPr>
          <w:rFonts w:ascii="Tahoma" w:hAnsi="Tahoma" w:cs="Tahoma"/>
        </w:rPr>
      </w:pPr>
    </w:p>
    <w:p w:rsidR="00E132FA" w:rsidRDefault="00940700" w:rsidP="00940700">
      <w:pPr>
        <w:pStyle w:val="BodyTextIndent"/>
        <w:jc w:val="both"/>
        <w:rPr>
          <w:rFonts w:ascii="Tahoma" w:hAnsi="Tahoma" w:cs="Tahoma"/>
        </w:rPr>
      </w:pPr>
      <w:r>
        <w:rPr>
          <w:rFonts w:ascii="Tahoma" w:hAnsi="Tahoma" w:cs="Tahoma"/>
        </w:rPr>
        <w:t>Πρόσφατα</w:t>
      </w:r>
      <w:r w:rsidR="00E132FA">
        <w:rPr>
          <w:rFonts w:ascii="Tahoma" w:hAnsi="Tahoma" w:cs="Tahoma"/>
        </w:rPr>
        <w:t xml:space="preserve"> όλοι οι εργαζόμενοι στο δημόσιο τομέα ενημερωθήκαμε από τα ΜΜΕ ότι θα έχουμε </w:t>
      </w:r>
      <w:r>
        <w:rPr>
          <w:rFonts w:ascii="Tahoma" w:hAnsi="Tahoma" w:cs="Tahoma"/>
        </w:rPr>
        <w:t>«</w:t>
      </w:r>
      <w:r w:rsidR="00E132FA">
        <w:rPr>
          <w:rFonts w:ascii="Tahoma" w:hAnsi="Tahoma" w:cs="Tahoma"/>
        </w:rPr>
        <w:t>αναδρομικές αυξήσεις στους μισθούς μας από 1-1-18</w:t>
      </w:r>
      <w:r>
        <w:rPr>
          <w:rFonts w:ascii="Tahoma" w:hAnsi="Tahoma" w:cs="Tahoma"/>
        </w:rPr>
        <w:t>»</w:t>
      </w:r>
      <w:r w:rsidR="00E132FA">
        <w:rPr>
          <w:rFonts w:ascii="Tahoma" w:hAnsi="Tahoma" w:cs="Tahoma"/>
        </w:rPr>
        <w:t>, μετά την έκδ</w:t>
      </w:r>
      <w:r>
        <w:rPr>
          <w:rFonts w:ascii="Tahoma" w:hAnsi="Tahoma" w:cs="Tahoma"/>
        </w:rPr>
        <w:t xml:space="preserve">οση της </w:t>
      </w:r>
      <w:hyperlink r:id="rId7" w:history="1">
        <w:r w:rsidRPr="00940700">
          <w:rPr>
            <w:rStyle w:val="Hyperlink"/>
            <w:rFonts w:ascii="Tahoma" w:hAnsi="Tahoma" w:cs="Tahoma"/>
          </w:rPr>
          <w:t xml:space="preserve">υπ’ </w:t>
        </w:r>
        <w:proofErr w:type="spellStart"/>
        <w:r w:rsidRPr="00940700">
          <w:rPr>
            <w:rStyle w:val="Hyperlink"/>
            <w:rFonts w:ascii="Tahoma" w:hAnsi="Tahoma" w:cs="Tahoma"/>
          </w:rPr>
          <w:t>αρ</w:t>
        </w:r>
        <w:proofErr w:type="spellEnd"/>
        <w:r w:rsidRPr="00940700">
          <w:rPr>
            <w:rStyle w:val="Hyperlink"/>
            <w:rFonts w:ascii="Tahoma" w:hAnsi="Tahoma" w:cs="Tahoma"/>
          </w:rPr>
          <w:t xml:space="preserve">.  </w:t>
        </w:r>
        <w:r w:rsidRPr="00940700">
          <w:rPr>
            <w:rStyle w:val="Hyperlink"/>
          </w:rPr>
          <w:t xml:space="preserve">Αρ.Πρωτ.οικ.2/ 1868 /ΔΕΠ </w:t>
        </w:r>
        <w:r w:rsidRPr="00940700">
          <w:rPr>
            <w:rStyle w:val="Hyperlink"/>
            <w:rFonts w:ascii="Tahoma" w:hAnsi="Tahoma" w:cs="Tahoma"/>
          </w:rPr>
          <w:t>εγκυκλίου</w:t>
        </w:r>
      </w:hyperlink>
      <w:r w:rsidR="00E132FA">
        <w:rPr>
          <w:rFonts w:ascii="Tahoma" w:hAnsi="Tahoma" w:cs="Tahoma"/>
        </w:rPr>
        <w:t>.</w:t>
      </w:r>
    </w:p>
    <w:p w:rsidR="00E132FA" w:rsidRDefault="00E132FA" w:rsidP="00E132FA">
      <w:pPr>
        <w:pStyle w:val="BodyTextIndent"/>
        <w:ind w:firstLine="0"/>
        <w:jc w:val="both"/>
        <w:rPr>
          <w:rFonts w:ascii="Tahoma" w:hAnsi="Tahoma" w:cs="Tahoma"/>
        </w:rPr>
      </w:pPr>
      <w:r>
        <w:rPr>
          <w:rFonts w:ascii="Tahoma" w:hAnsi="Tahoma" w:cs="Tahoma"/>
        </w:rPr>
        <w:t>Η πραγματικότητα όμως έχει ως εξής:</w:t>
      </w:r>
    </w:p>
    <w:p w:rsidR="00E132FA" w:rsidRPr="00E132FA" w:rsidRDefault="00E132FA" w:rsidP="00940700">
      <w:pPr>
        <w:pStyle w:val="BodyTextIndent"/>
        <w:jc w:val="both"/>
      </w:pPr>
      <w:r>
        <w:rPr>
          <w:rFonts w:ascii="Tahoma" w:hAnsi="Tahoma" w:cs="Tahoma"/>
        </w:rPr>
        <w:t xml:space="preserve">Βαφτίζεται </w:t>
      </w:r>
      <w:r w:rsidR="00940700">
        <w:rPr>
          <w:rFonts w:ascii="Tahoma" w:hAnsi="Tahoma" w:cs="Tahoma"/>
        </w:rPr>
        <w:t>«</w:t>
      </w:r>
      <w:r>
        <w:rPr>
          <w:rFonts w:ascii="Tahoma" w:hAnsi="Tahoma" w:cs="Tahoma"/>
        </w:rPr>
        <w:t>αύξηση μισθού</w:t>
      </w:r>
      <w:r w:rsidR="00940700">
        <w:rPr>
          <w:rFonts w:ascii="Tahoma" w:hAnsi="Tahoma" w:cs="Tahoma"/>
        </w:rPr>
        <w:t>»</w:t>
      </w:r>
      <w:r>
        <w:rPr>
          <w:rFonts w:ascii="Tahoma" w:hAnsi="Tahoma" w:cs="Tahoma"/>
        </w:rPr>
        <w:t xml:space="preserve"> η </w:t>
      </w:r>
      <w:r w:rsidR="00940700">
        <w:rPr>
          <w:rFonts w:ascii="Tahoma" w:hAnsi="Tahoma" w:cs="Tahoma"/>
        </w:rPr>
        <w:t xml:space="preserve">προβλεπόμενη από το Νόμο </w:t>
      </w:r>
      <w:r>
        <w:rPr>
          <w:rFonts w:ascii="Tahoma" w:hAnsi="Tahoma" w:cs="Tahoma"/>
        </w:rPr>
        <w:t>μισθολογική εξέλιξη</w:t>
      </w:r>
      <w:r w:rsidR="00940700">
        <w:rPr>
          <w:rFonts w:ascii="Tahoma" w:hAnsi="Tahoma" w:cs="Tahoma"/>
        </w:rPr>
        <w:t>, η οποία υπενθυμίζουμε ότι έχει «παγώσει» από το 2011 για το σύνολο των Δημοσίων Υπαλλήλων.</w:t>
      </w:r>
    </w:p>
    <w:p w:rsidR="00ED269A" w:rsidRDefault="00E132FA" w:rsidP="00ED269A">
      <w:pPr>
        <w:pStyle w:val="BodyTextIndent"/>
        <w:jc w:val="both"/>
        <w:rPr>
          <w:rFonts w:ascii="Tahoma" w:hAnsi="Tahoma" w:cs="Tahoma"/>
        </w:rPr>
      </w:pPr>
      <w:r>
        <w:rPr>
          <w:rFonts w:ascii="Tahoma" w:hAnsi="Tahoma" w:cs="Tahoma"/>
        </w:rPr>
        <w:t>Από τις αρχές του 2016 που εφαρμόστηκε το νέο μισθολόγιο</w:t>
      </w:r>
      <w:r w:rsidR="00940700">
        <w:rPr>
          <w:rFonts w:ascii="Tahoma" w:hAnsi="Tahoma" w:cs="Tahoma"/>
        </w:rPr>
        <w:t xml:space="preserve"> (Ν.4354/15)</w:t>
      </w:r>
      <w:r>
        <w:rPr>
          <w:rFonts w:ascii="Tahoma" w:hAnsi="Tahoma" w:cs="Tahoma"/>
        </w:rPr>
        <w:t>, η μισθολογική εξέλιξη με βάση τα χρόνια προϋπηρεσίας στο δημόσιο τομέα, είχε σταματήσει για το χρονικό διάστημα 2016-2017</w:t>
      </w:r>
      <w:r w:rsidR="00940700">
        <w:rPr>
          <w:rFonts w:ascii="Tahoma" w:hAnsi="Tahoma" w:cs="Tahoma"/>
        </w:rPr>
        <w:t xml:space="preserve">. </w:t>
      </w:r>
      <w:r>
        <w:rPr>
          <w:rFonts w:ascii="Tahoma" w:hAnsi="Tahoma" w:cs="Tahoma"/>
        </w:rPr>
        <w:t xml:space="preserve">Στις διατάξεις </w:t>
      </w:r>
      <w:r w:rsidR="00940700">
        <w:rPr>
          <w:rFonts w:ascii="Tahoma" w:hAnsi="Tahoma" w:cs="Tahoma"/>
        </w:rPr>
        <w:t xml:space="preserve">του </w:t>
      </w:r>
      <w:proofErr w:type="spellStart"/>
      <w:r w:rsidR="00940700">
        <w:rPr>
          <w:rFonts w:ascii="Tahoma" w:hAnsi="Tahoma" w:cs="Tahoma"/>
        </w:rPr>
        <w:t>μνημονιακού</w:t>
      </w:r>
      <w:proofErr w:type="spellEnd"/>
      <w:r w:rsidR="00940700">
        <w:rPr>
          <w:rFonts w:ascii="Tahoma" w:hAnsi="Tahoma" w:cs="Tahoma"/>
        </w:rPr>
        <w:t xml:space="preserve"> αυτού Νόμου</w:t>
      </w:r>
      <w:r>
        <w:rPr>
          <w:rFonts w:ascii="Tahoma" w:hAnsi="Tahoma" w:cs="Tahoma"/>
        </w:rPr>
        <w:t xml:space="preserve"> προβλεπόταν ότι η μισθολογική εξέλιξη θα ξεκινούσε το 2018, </w:t>
      </w:r>
      <w:r w:rsidRPr="00940700">
        <w:rPr>
          <w:rFonts w:ascii="Tahoma" w:hAnsi="Tahoma" w:cs="Tahoma"/>
          <w:b/>
        </w:rPr>
        <w:t>αφαιρώντας όμως τα έτη 2016 και 2017</w:t>
      </w:r>
      <w:r>
        <w:rPr>
          <w:rFonts w:ascii="Tahoma" w:hAnsi="Tahoma" w:cs="Tahoma"/>
        </w:rPr>
        <w:t xml:space="preserve">. </w:t>
      </w:r>
      <w:r w:rsidRPr="00940700">
        <w:rPr>
          <w:rFonts w:ascii="Tahoma" w:hAnsi="Tahoma" w:cs="Tahoma"/>
          <w:b/>
        </w:rPr>
        <w:t>Με αυτό τον τρόπο «εξαφανιζόταν» από την προϋπηρεσία κάθε εργαζομένου του δημοσίου 2 χρόνια</w:t>
      </w:r>
      <w:r w:rsidR="005E45B7" w:rsidRPr="00940700">
        <w:rPr>
          <w:rFonts w:ascii="Tahoma" w:hAnsi="Tahoma" w:cs="Tahoma"/>
          <w:b/>
        </w:rPr>
        <w:t>.</w:t>
      </w:r>
      <w:r w:rsidR="00940700">
        <w:rPr>
          <w:rFonts w:ascii="Tahoma" w:hAnsi="Tahoma" w:cs="Tahoma"/>
          <w:b/>
        </w:rPr>
        <w:t xml:space="preserve"> </w:t>
      </w:r>
      <w:r w:rsidR="005E45B7">
        <w:rPr>
          <w:rFonts w:ascii="Tahoma" w:hAnsi="Tahoma" w:cs="Tahoma"/>
        </w:rPr>
        <w:t>Αυτή η «εξαφάνιση» ερμηνεύεται στην πραγματικότητα σε μείωση του μισθού της τάξης του 30 – 40 €.</w:t>
      </w:r>
      <w:r w:rsidR="00940700">
        <w:rPr>
          <w:rFonts w:ascii="Tahoma" w:hAnsi="Tahoma" w:cs="Tahoma"/>
        </w:rPr>
        <w:t xml:space="preserve"> </w:t>
      </w:r>
    </w:p>
    <w:p w:rsidR="005E45B7" w:rsidRPr="005E45B7" w:rsidRDefault="00ED269A" w:rsidP="00940700">
      <w:pPr>
        <w:pStyle w:val="BodyTextIndent"/>
        <w:ind w:firstLine="0"/>
        <w:jc w:val="both"/>
      </w:pPr>
      <w:r>
        <w:rPr>
          <w:rFonts w:ascii="Tahoma" w:hAnsi="Tahoma" w:cs="Tahoma"/>
        </w:rPr>
        <w:tab/>
        <w:t>Το όποιο «</w:t>
      </w:r>
      <w:proofErr w:type="spellStart"/>
      <w:r>
        <w:rPr>
          <w:rFonts w:ascii="Tahoma" w:hAnsi="Tahoma" w:cs="Tahoma"/>
        </w:rPr>
        <w:t>ξεπάγωμα</w:t>
      </w:r>
      <w:proofErr w:type="spellEnd"/>
      <w:r>
        <w:rPr>
          <w:rFonts w:ascii="Tahoma" w:hAnsi="Tahoma" w:cs="Tahoma"/>
        </w:rPr>
        <w:t xml:space="preserve"> κλιμακίων» όμως </w:t>
      </w:r>
      <w:r w:rsidRPr="00ED269A">
        <w:rPr>
          <w:rFonts w:ascii="Tahoma" w:hAnsi="Tahoma" w:cs="Tahoma"/>
          <w:b/>
        </w:rPr>
        <w:t>δεν οδηγεί σε πραγματικές αυξήσεις, αλλά σε ισόποση μείωση της «προσωπικής διαφοράς»</w:t>
      </w:r>
      <w:r>
        <w:rPr>
          <w:rFonts w:ascii="Tahoma" w:hAnsi="Tahoma" w:cs="Tahoma"/>
        </w:rPr>
        <w:t xml:space="preserve">, την οποία η συντριπτική πλειοψηφία των μηχανικών λαμβάνει. Αυτό έχει ως αποτέλεσμα </w:t>
      </w:r>
      <w:r w:rsidRPr="00ED269A">
        <w:rPr>
          <w:rFonts w:ascii="Tahoma" w:hAnsi="Tahoma" w:cs="Tahoma"/>
          <w:b/>
        </w:rPr>
        <w:t>την πραγματική μείωση των καθαρών αποδοχών μας –αντί αυξήσεων-</w:t>
      </w:r>
      <w:r>
        <w:rPr>
          <w:rFonts w:ascii="Tahoma" w:hAnsi="Tahoma" w:cs="Tahoma"/>
        </w:rPr>
        <w:t xml:space="preserve"> γιατί </w:t>
      </w:r>
      <w:r w:rsidR="00940700">
        <w:rPr>
          <w:rFonts w:ascii="Tahoma" w:hAnsi="Tahoma" w:cs="Tahoma"/>
        </w:rPr>
        <w:t xml:space="preserve">όπως ήδη έχουμε ενημερώσει </w:t>
      </w:r>
      <w:hyperlink r:id="rId8" w:history="1">
        <w:r w:rsidR="00940700" w:rsidRPr="00ED269A">
          <w:rPr>
            <w:rStyle w:val="Hyperlink"/>
            <w:rFonts w:ascii="Tahoma" w:hAnsi="Tahoma" w:cs="Tahoma"/>
          </w:rPr>
          <w:t xml:space="preserve">με </w:t>
        </w:r>
        <w:r w:rsidRPr="00ED269A">
          <w:rPr>
            <w:rStyle w:val="Hyperlink"/>
            <w:rFonts w:ascii="Tahoma" w:hAnsi="Tahoma" w:cs="Tahoma"/>
          </w:rPr>
          <w:t xml:space="preserve">πρόσφατη </w:t>
        </w:r>
        <w:r w:rsidR="00940700" w:rsidRPr="00ED269A">
          <w:rPr>
            <w:rStyle w:val="Hyperlink"/>
            <w:rFonts w:ascii="Tahoma" w:hAnsi="Tahoma" w:cs="Tahoma"/>
          </w:rPr>
          <w:t>ανακοίνωση μας</w:t>
        </w:r>
      </w:hyperlink>
      <w:r w:rsidR="00940700">
        <w:rPr>
          <w:rFonts w:ascii="Tahoma" w:hAnsi="Tahoma" w:cs="Tahoma"/>
        </w:rPr>
        <w:t>, η προσωπική διαφορά</w:t>
      </w:r>
      <w:r>
        <w:rPr>
          <w:rFonts w:ascii="Tahoma" w:hAnsi="Tahoma" w:cs="Tahoma"/>
        </w:rPr>
        <w:t xml:space="preserve"> δεν υπόκειται σε ασφαλιστικές κρατήσεις από 1/1/2017, ενώ ο μισθός υπόκειται. </w:t>
      </w:r>
    </w:p>
    <w:p w:rsidR="00940700" w:rsidRPr="00940700" w:rsidRDefault="00940700" w:rsidP="00940700">
      <w:pPr>
        <w:pStyle w:val="BodyTextIndent"/>
        <w:jc w:val="both"/>
      </w:pPr>
      <w:r>
        <w:rPr>
          <w:rFonts w:ascii="Tahoma" w:hAnsi="Tahoma" w:cs="Tahoma"/>
        </w:rPr>
        <w:t>Για</w:t>
      </w:r>
      <w:r w:rsidR="005E45B7">
        <w:rPr>
          <w:rFonts w:ascii="Tahoma" w:hAnsi="Tahoma" w:cs="Tahoma"/>
        </w:rPr>
        <w:t xml:space="preserve"> τους διπλωματούχους μηχανικούς η συνολική μείωση</w:t>
      </w:r>
      <w:r>
        <w:rPr>
          <w:rFonts w:ascii="Tahoma" w:hAnsi="Tahoma" w:cs="Tahoma"/>
        </w:rPr>
        <w:t xml:space="preserve"> αποδοχών των ετών από το 2010 έως σήμερα</w:t>
      </w:r>
      <w:r w:rsidR="005E45B7">
        <w:rPr>
          <w:rFonts w:ascii="Tahoma" w:hAnsi="Tahoma" w:cs="Tahoma"/>
        </w:rPr>
        <w:t xml:space="preserve"> </w:t>
      </w:r>
      <w:r>
        <w:rPr>
          <w:rFonts w:ascii="Tahoma" w:hAnsi="Tahoma" w:cs="Tahoma"/>
        </w:rPr>
        <w:t xml:space="preserve">προσεγγίζει </w:t>
      </w:r>
      <w:r w:rsidR="005E45B7">
        <w:rPr>
          <w:rFonts w:ascii="Tahoma" w:hAnsi="Tahoma" w:cs="Tahoma"/>
        </w:rPr>
        <w:t>το 50%. Αν μάλιστα υπολογίσουμε και την «χρηματοδότηση» από την τσέπη μας των οδοιπορικών μας για τις εκτός και εντός έδρας μετακινήσεις μας, τότε η μείωση ξεπερνάει το 50%.</w:t>
      </w:r>
      <w:r>
        <w:t xml:space="preserve"> </w:t>
      </w:r>
      <w:r w:rsidRPr="00940700">
        <w:rPr>
          <w:b/>
          <w:bCs/>
        </w:rPr>
        <w:t>Οι ελάχιστοι δε νεοδιόριστοι μηχανικοί δημόσιοι υπάλληλοι (των 35 και 40 ετών λόγω παγώματος προσλήψεων) έχουν φτάσει να αμείβονται με 650 € καθαρές αποδοχές</w:t>
      </w:r>
      <w:r w:rsidRPr="00940700">
        <w:t>.</w:t>
      </w:r>
    </w:p>
    <w:p w:rsidR="00691E86" w:rsidRPr="00691E86" w:rsidRDefault="00691E86" w:rsidP="00ED269A">
      <w:pPr>
        <w:pStyle w:val="BodyTextIndent"/>
        <w:jc w:val="both"/>
      </w:pPr>
      <w:r>
        <w:rPr>
          <w:rFonts w:ascii="Tahoma" w:hAnsi="Tahoma" w:cs="Tahoma"/>
        </w:rPr>
        <w:t xml:space="preserve">Ας μην ξεχνάμε επίσης, ότι η προσωπική διαφορά </w:t>
      </w:r>
      <w:r w:rsidR="00ED269A">
        <w:rPr>
          <w:rFonts w:ascii="Tahoma" w:hAnsi="Tahoma" w:cs="Tahoma"/>
        </w:rPr>
        <w:t>κινδυνεύει ανά πάσα στιγμή να</w:t>
      </w:r>
      <w:r>
        <w:rPr>
          <w:rFonts w:ascii="Tahoma" w:hAnsi="Tahoma" w:cs="Tahoma"/>
        </w:rPr>
        <w:t xml:space="preserve"> καταργηθεί</w:t>
      </w:r>
      <w:r w:rsidR="00ED269A">
        <w:rPr>
          <w:rFonts w:ascii="Tahoma" w:hAnsi="Tahoma" w:cs="Tahoma"/>
        </w:rPr>
        <w:t>, ενόψει «αξιολογήσεων», «δημοσιονομικού κόφτη» κλπ</w:t>
      </w:r>
      <w:r>
        <w:rPr>
          <w:rFonts w:ascii="Tahoma" w:hAnsi="Tahoma" w:cs="Tahoma"/>
        </w:rPr>
        <w:t>.</w:t>
      </w:r>
    </w:p>
    <w:p w:rsidR="00BB324D" w:rsidRDefault="00691E86" w:rsidP="00ED269A">
      <w:pPr>
        <w:pStyle w:val="BodyTextIndent"/>
        <w:jc w:val="both"/>
        <w:rPr>
          <w:rFonts w:ascii="Tahoma" w:hAnsi="Tahoma" w:cs="Tahoma"/>
        </w:rPr>
      </w:pPr>
      <w:r>
        <w:rPr>
          <w:rFonts w:ascii="Tahoma" w:hAnsi="Tahoma" w:cs="Tahoma"/>
        </w:rPr>
        <w:t>Συνάδελφοι ας μην τρέφουμε αυταπάτες. Αυτή είναι η σκληρή πραγματικότητα όλων των εργαζομένων στο δημόσιο</w:t>
      </w:r>
      <w:r w:rsidR="00A57566">
        <w:rPr>
          <w:rFonts w:ascii="Tahoma" w:hAnsi="Tahoma" w:cs="Tahoma"/>
        </w:rPr>
        <w:t xml:space="preserve"> και ειδικά των διπλωματούχων μηχανικών</w:t>
      </w:r>
      <w:r>
        <w:rPr>
          <w:rFonts w:ascii="Tahoma" w:hAnsi="Tahoma" w:cs="Tahoma"/>
        </w:rPr>
        <w:t>. Η ενημέρωση όμως από τα ΜΜΕ</w:t>
      </w:r>
      <w:r w:rsidR="00BB324D">
        <w:rPr>
          <w:rFonts w:ascii="Tahoma" w:hAnsi="Tahoma" w:cs="Tahoma"/>
        </w:rPr>
        <w:t xml:space="preserve"> για αυξήσεις στους δημόσιους υπαλλήλους, αντιπαραθέτοντας μάλιστα τη μισθολογική εξέλιξη με τους εργαζόμενους στον ιδιωτικό τομέα, καλλιεργώντας έτσι τον κοινωνικό αυτοματισμό, εξυπηρετεί μόνο τα συμφέροντα του κεφαλαίου.</w:t>
      </w:r>
    </w:p>
    <w:p w:rsidR="005E45B7" w:rsidRDefault="00BB324D" w:rsidP="00ED269A">
      <w:pPr>
        <w:pStyle w:val="BodyTextIndent"/>
        <w:jc w:val="both"/>
        <w:rPr>
          <w:rFonts w:ascii="Tahoma" w:hAnsi="Tahoma" w:cs="Tahoma"/>
        </w:rPr>
      </w:pPr>
      <w:r>
        <w:rPr>
          <w:rFonts w:ascii="Tahoma" w:hAnsi="Tahoma" w:cs="Tahoma"/>
        </w:rPr>
        <w:t xml:space="preserve">Εμείς πρέπει </w:t>
      </w:r>
      <w:hyperlink r:id="rId9" w:history="1">
        <w:r w:rsidRPr="00A57566">
          <w:rPr>
            <w:rStyle w:val="Hyperlink"/>
            <w:rFonts w:ascii="Tahoma" w:hAnsi="Tahoma" w:cs="Tahoma"/>
          </w:rPr>
          <w:t>να συνεχίσουμε να διεκδικούμε</w:t>
        </w:r>
      </w:hyperlink>
      <w:r>
        <w:rPr>
          <w:rFonts w:ascii="Tahoma" w:hAnsi="Tahoma" w:cs="Tahoma"/>
        </w:rPr>
        <w:t xml:space="preserve"> και να </w:t>
      </w:r>
      <w:proofErr w:type="spellStart"/>
      <w:r>
        <w:rPr>
          <w:rFonts w:ascii="Tahoma" w:hAnsi="Tahoma" w:cs="Tahoma"/>
        </w:rPr>
        <w:t>αποδομούμε</w:t>
      </w:r>
      <w:proofErr w:type="spellEnd"/>
      <w:r>
        <w:rPr>
          <w:rFonts w:ascii="Tahoma" w:hAnsi="Tahoma" w:cs="Tahoma"/>
        </w:rPr>
        <w:t xml:space="preserve"> τις παραπληροφορήσεις. </w:t>
      </w:r>
      <w:r w:rsidR="00691E86">
        <w:rPr>
          <w:rFonts w:ascii="Tahoma" w:hAnsi="Tahoma" w:cs="Tahoma"/>
        </w:rPr>
        <w:t xml:space="preserve"> </w:t>
      </w:r>
      <w:r w:rsidR="005E45B7">
        <w:rPr>
          <w:rFonts w:ascii="Tahoma" w:hAnsi="Tahoma" w:cs="Tahoma"/>
        </w:rPr>
        <w:t xml:space="preserve"> </w:t>
      </w:r>
    </w:p>
    <w:p w:rsidR="00ED269A" w:rsidRDefault="00ED269A" w:rsidP="00ED269A">
      <w:pPr>
        <w:spacing w:line="100" w:lineRule="atLeast"/>
        <w:jc w:val="both"/>
        <w:rPr>
          <w:rFonts w:ascii="Tahoma" w:hAnsi="Tahoma"/>
          <w:sz w:val="24"/>
          <w:szCs w:val="24"/>
        </w:rPr>
      </w:pPr>
      <w:r>
        <w:rPr>
          <w:rFonts w:ascii="Tahoma" w:hAnsi="Tahoma"/>
          <w:b/>
          <w:bCs/>
          <w:sz w:val="24"/>
          <w:szCs w:val="24"/>
        </w:rPr>
        <w:lastRenderedPageBreak/>
        <w:t xml:space="preserve">Άμεσο </w:t>
      </w:r>
      <w:proofErr w:type="spellStart"/>
      <w:r>
        <w:rPr>
          <w:rFonts w:ascii="Tahoma" w:hAnsi="Tahoma"/>
          <w:b/>
          <w:bCs/>
          <w:sz w:val="24"/>
          <w:szCs w:val="24"/>
        </w:rPr>
        <w:t>ξεπάγωμα</w:t>
      </w:r>
      <w:proofErr w:type="spellEnd"/>
      <w:r>
        <w:rPr>
          <w:rFonts w:ascii="Tahoma" w:hAnsi="Tahoma"/>
          <w:b/>
          <w:bCs/>
          <w:sz w:val="24"/>
          <w:szCs w:val="24"/>
        </w:rPr>
        <w:t xml:space="preserve"> των μισθολογικών κλιμακίων</w:t>
      </w:r>
      <w:r>
        <w:rPr>
          <w:rFonts w:ascii="Tahoma" w:hAnsi="Tahoma"/>
          <w:sz w:val="24"/>
          <w:szCs w:val="24"/>
        </w:rPr>
        <w:t xml:space="preserve">. Να χορηγηθούν τα προβλεπόμενα κλιμάκια άμεσα σε όλους του υπαλλήλους. </w:t>
      </w:r>
      <w:r>
        <w:rPr>
          <w:rFonts w:ascii="Tahoma" w:hAnsi="Tahoma"/>
          <w:b/>
          <w:bCs/>
          <w:sz w:val="24"/>
          <w:szCs w:val="24"/>
        </w:rPr>
        <w:t xml:space="preserve">Να </w:t>
      </w:r>
      <w:proofErr w:type="spellStart"/>
      <w:r>
        <w:rPr>
          <w:rFonts w:ascii="Tahoma" w:hAnsi="Tahoma"/>
          <w:b/>
          <w:bCs/>
          <w:sz w:val="24"/>
          <w:szCs w:val="24"/>
        </w:rPr>
        <w:t>προσμετρηθεί</w:t>
      </w:r>
      <w:proofErr w:type="spellEnd"/>
      <w:r>
        <w:rPr>
          <w:rFonts w:ascii="Tahoma" w:hAnsi="Tahoma"/>
          <w:b/>
          <w:bCs/>
          <w:sz w:val="24"/>
          <w:szCs w:val="24"/>
        </w:rPr>
        <w:t xml:space="preserve"> κανονικά ο εργασιακός χρόνος της διετίας 2016-2017 στη μισθολογική ωρίμανση</w:t>
      </w:r>
      <w:r>
        <w:rPr>
          <w:rFonts w:ascii="Tahoma" w:hAnsi="Tahoma"/>
          <w:sz w:val="24"/>
          <w:szCs w:val="24"/>
        </w:rPr>
        <w:t>, που αυθαίρετα η κυβέρνηση με το Ν.4354/15 έχει καταργήσει.</w:t>
      </w:r>
    </w:p>
    <w:p w:rsidR="00ED269A" w:rsidRDefault="00ED269A" w:rsidP="00ED269A">
      <w:pPr>
        <w:spacing w:line="100" w:lineRule="atLeast"/>
        <w:jc w:val="both"/>
        <w:rPr>
          <w:rFonts w:ascii="Tahoma" w:hAnsi="Tahoma"/>
          <w:sz w:val="24"/>
          <w:szCs w:val="24"/>
        </w:rPr>
      </w:pPr>
      <w:r>
        <w:rPr>
          <w:rFonts w:ascii="Tahoma" w:hAnsi="Tahoma"/>
          <w:b/>
          <w:bCs/>
          <w:sz w:val="24"/>
          <w:szCs w:val="24"/>
        </w:rPr>
        <w:t>Πλήρης μισθολογική αναγνώριση της προϋπηρεσίας εκτός δημοσίου που αναγνωρίσθηκε με το Π.Δ.69/16</w:t>
      </w:r>
      <w:r>
        <w:rPr>
          <w:rFonts w:ascii="Tahoma" w:hAnsi="Tahoma"/>
          <w:sz w:val="24"/>
          <w:szCs w:val="24"/>
        </w:rPr>
        <w:t>. Οι γνώσεις και η εμπειρία των μηχανικών, από την εργασία τους στον ιδιωτικό τομέα που μεταφέρεται στο Δημόσιο, δεν πρέπει να μηδενίζεται.</w:t>
      </w:r>
    </w:p>
    <w:p w:rsidR="00ED269A" w:rsidRDefault="00ED269A" w:rsidP="00ED269A">
      <w:pPr>
        <w:spacing w:line="100" w:lineRule="atLeast"/>
        <w:jc w:val="both"/>
        <w:rPr>
          <w:rFonts w:ascii="Tahoma" w:hAnsi="Tahoma"/>
          <w:sz w:val="24"/>
          <w:szCs w:val="24"/>
        </w:rPr>
      </w:pPr>
      <w:r>
        <w:rPr>
          <w:rFonts w:ascii="Tahoma" w:hAnsi="Tahoma"/>
          <w:b/>
          <w:bCs/>
          <w:sz w:val="24"/>
          <w:szCs w:val="24"/>
        </w:rPr>
        <w:t>Διατήρηση της προσωπικής διαφοράς σε όσους μετατάσσονται ή έχουν μεταταχθεί με οποιαδήποτε τρόπο (μετατάξεις – υποχρεωτική ή εθελούσια κινητικότητα κλπ</w:t>
      </w:r>
      <w:r w:rsidR="00966829">
        <w:rPr>
          <w:rFonts w:ascii="Tahoma" w:hAnsi="Tahoma"/>
          <w:b/>
          <w:bCs/>
          <w:sz w:val="24"/>
          <w:szCs w:val="24"/>
        </w:rPr>
        <w:t>.</w:t>
      </w:r>
      <w:r>
        <w:rPr>
          <w:rFonts w:ascii="Tahoma" w:hAnsi="Tahoma"/>
          <w:b/>
          <w:bCs/>
          <w:sz w:val="24"/>
          <w:szCs w:val="24"/>
        </w:rPr>
        <w:t>) και με αναδρομική ισχύ.</w:t>
      </w:r>
      <w:r>
        <w:rPr>
          <w:rFonts w:ascii="Tahoma" w:hAnsi="Tahoma"/>
          <w:sz w:val="24"/>
          <w:szCs w:val="24"/>
        </w:rPr>
        <w:t xml:space="preserve"> Με τον πρόσφατο Ν.4483 (άρθρο 99) αποκαταστάθηκε αναδρομικά αυτή η αδικία για κατηγορίες υπαλλήλων, εξαιρώντας όμως εκατοντάδες άλλες περιπτώσεις, ενισχύοντας έτσι το αίσθημα αδικίας και υποτίμησης.</w:t>
      </w:r>
    </w:p>
    <w:p w:rsidR="00ED269A" w:rsidRDefault="00ED269A" w:rsidP="00ED269A">
      <w:pPr>
        <w:spacing w:line="100" w:lineRule="atLeast"/>
        <w:jc w:val="both"/>
        <w:rPr>
          <w:rFonts w:ascii="Tahoma" w:hAnsi="Tahoma"/>
          <w:sz w:val="24"/>
          <w:szCs w:val="24"/>
        </w:rPr>
      </w:pPr>
      <w:r>
        <w:rPr>
          <w:rFonts w:ascii="Tahoma" w:hAnsi="Tahoma"/>
          <w:b/>
          <w:bCs/>
          <w:sz w:val="24"/>
          <w:szCs w:val="24"/>
        </w:rPr>
        <w:t>Όχι στο συμψηφισμό της προσωπικής διαφοράς με τα μισθολογικά κλιμάκια</w:t>
      </w:r>
      <w:r>
        <w:rPr>
          <w:rFonts w:ascii="Tahoma" w:hAnsi="Tahoma"/>
          <w:sz w:val="24"/>
          <w:szCs w:val="24"/>
        </w:rPr>
        <w:t xml:space="preserve">, όταν αυτά αλλάζουν. Ειδικά στις περιπτώσεις που η αλλαγή αυτή οφείλεται σε </w:t>
      </w:r>
      <w:r w:rsidRPr="00ED269A">
        <w:rPr>
          <w:rFonts w:ascii="Tahoma" w:hAnsi="Tahoma"/>
          <w:b/>
          <w:sz w:val="24"/>
          <w:szCs w:val="24"/>
        </w:rPr>
        <w:t>αναγνώριση προϋπηρεσίας εντός Δημοσίου (με το άρθρο 7 του Ν.4354/15) που αποκτήθηκε προγενέστερα ή σε απόκτηση μεταπτυχιακού τίτλου</w:t>
      </w:r>
      <w:r>
        <w:rPr>
          <w:rFonts w:ascii="Tahoma" w:hAnsi="Tahoma"/>
          <w:sz w:val="24"/>
          <w:szCs w:val="24"/>
        </w:rPr>
        <w:t>. Με τον τρόπο αυτό οι αποδοχές όσων έχουν προσωπική διαφορά θα παραμείνουν καθηλωμένες ή και μειούμενες για πάρα πολλά έτη.</w:t>
      </w:r>
    </w:p>
    <w:p w:rsidR="00ED269A" w:rsidRDefault="00ED269A" w:rsidP="00ED269A">
      <w:pPr>
        <w:spacing w:line="100" w:lineRule="atLeast"/>
        <w:jc w:val="both"/>
        <w:rPr>
          <w:rFonts w:ascii="Tahoma" w:hAnsi="Tahoma"/>
          <w:sz w:val="24"/>
          <w:szCs w:val="24"/>
        </w:rPr>
      </w:pPr>
      <w:r>
        <w:rPr>
          <w:rFonts w:ascii="Tahoma" w:hAnsi="Tahoma"/>
          <w:b/>
          <w:bCs/>
          <w:sz w:val="24"/>
          <w:szCs w:val="24"/>
        </w:rPr>
        <w:t>Απόδοση σε όλους του Διπλωματούχους Μηχανικούς των 2 Μισθολογικών Κλιμακίων που προβλέπονται</w:t>
      </w:r>
      <w:r>
        <w:rPr>
          <w:rFonts w:ascii="Tahoma" w:hAnsi="Tahoma"/>
          <w:sz w:val="24"/>
          <w:szCs w:val="24"/>
        </w:rPr>
        <w:t xml:space="preserve"> (σύμφωνα με το άρθρο 9 του Ν.4354/15</w:t>
      </w:r>
      <w:r>
        <w:rPr>
          <w:rFonts w:ascii="Tahoma" w:hAnsi="Tahoma"/>
          <w:color w:val="26282A"/>
          <w:sz w:val="24"/>
          <w:szCs w:val="24"/>
        </w:rPr>
        <w:t>)</w:t>
      </w:r>
      <w:r>
        <w:rPr>
          <w:rFonts w:ascii="Tahoma" w:hAnsi="Tahoma"/>
          <w:sz w:val="24"/>
          <w:szCs w:val="24"/>
        </w:rPr>
        <w:t xml:space="preserve"> στους κατόχους μεταπτυχιακού τίτλου λόγω των ενιαίων και αδιαίρετων πενταετών σπουδών μας. Υπενθυμίζουμε ότι με το άρθρο 46 του Ν.4485/17 “</w:t>
      </w:r>
      <w:r>
        <w:rPr>
          <w:rFonts w:ascii="Tahoma" w:hAnsi="Tahoma"/>
          <w:i/>
          <w:sz w:val="24"/>
          <w:szCs w:val="24"/>
        </w:rPr>
        <w:t>ο ενιαίος και αδιάσπαστος τίτλος σπουδών μεταπτυχιακού επιπέδου (</w:t>
      </w:r>
      <w:proofErr w:type="spellStart"/>
      <w:r>
        <w:rPr>
          <w:rFonts w:ascii="Tahoma" w:hAnsi="Tahoma"/>
          <w:i/>
          <w:sz w:val="24"/>
          <w:szCs w:val="24"/>
        </w:rPr>
        <w:t>integrated</w:t>
      </w:r>
      <w:proofErr w:type="spellEnd"/>
      <w:r>
        <w:rPr>
          <w:rFonts w:ascii="Tahoma" w:hAnsi="Tahoma"/>
          <w:i/>
          <w:sz w:val="24"/>
          <w:szCs w:val="24"/>
        </w:rPr>
        <w:t xml:space="preserve"> </w:t>
      </w:r>
      <w:proofErr w:type="spellStart"/>
      <w:r>
        <w:rPr>
          <w:rFonts w:ascii="Tahoma" w:hAnsi="Tahoma"/>
          <w:i/>
          <w:sz w:val="24"/>
          <w:szCs w:val="24"/>
        </w:rPr>
        <w:t>master</w:t>
      </w:r>
      <w:proofErr w:type="spellEnd"/>
      <w:r>
        <w:rPr>
          <w:rFonts w:ascii="Tahoma" w:hAnsi="Tahoma"/>
          <w:i/>
          <w:sz w:val="24"/>
          <w:szCs w:val="24"/>
        </w:rPr>
        <w:t xml:space="preserve">) λογίζεται ότι έχει ληφθεί από την ημερομηνία απονομής του πτυχίου ή διπλώματος και καταλαμβάνει και τους </w:t>
      </w:r>
      <w:proofErr w:type="spellStart"/>
      <w:r>
        <w:rPr>
          <w:rFonts w:ascii="Tahoma" w:hAnsi="Tahoma"/>
          <w:i/>
          <w:sz w:val="24"/>
          <w:szCs w:val="24"/>
        </w:rPr>
        <w:t>αποφοιτήσαντες</w:t>
      </w:r>
      <w:proofErr w:type="spellEnd"/>
      <w:r>
        <w:rPr>
          <w:rFonts w:ascii="Tahoma" w:hAnsi="Tahoma"/>
          <w:i/>
          <w:sz w:val="24"/>
          <w:szCs w:val="24"/>
        </w:rPr>
        <w:t xml:space="preserve"> πριν από την έναρξη ισχύος του παρόντος νόμου”</w:t>
      </w:r>
    </w:p>
    <w:p w:rsidR="00ED269A" w:rsidRDefault="00ED269A" w:rsidP="00ED269A">
      <w:pPr>
        <w:spacing w:line="100" w:lineRule="atLeast"/>
        <w:rPr>
          <w:rFonts w:ascii="Tahoma" w:hAnsi="Tahoma"/>
          <w:sz w:val="24"/>
          <w:szCs w:val="24"/>
        </w:rPr>
      </w:pPr>
      <w:r>
        <w:rPr>
          <w:rFonts w:ascii="Tahoma" w:hAnsi="Tahoma"/>
          <w:b/>
          <w:bCs/>
          <w:sz w:val="24"/>
          <w:szCs w:val="24"/>
        </w:rPr>
        <w:t xml:space="preserve">Επαναφορά 13ου και 14ου μισθού </w:t>
      </w:r>
      <w:r>
        <w:rPr>
          <w:rFonts w:ascii="Tahoma" w:hAnsi="Tahoma"/>
          <w:sz w:val="24"/>
          <w:szCs w:val="24"/>
        </w:rPr>
        <w:t xml:space="preserve">στο σύνολο των Δημοσίων Υπαλλήλων. </w:t>
      </w:r>
    </w:p>
    <w:p w:rsidR="00ED269A" w:rsidRDefault="00ED269A" w:rsidP="00ED269A">
      <w:pPr>
        <w:spacing w:line="100" w:lineRule="atLeast"/>
        <w:jc w:val="both"/>
        <w:rPr>
          <w:rFonts w:ascii="Tahoma" w:hAnsi="Tahoma"/>
          <w:sz w:val="24"/>
          <w:szCs w:val="24"/>
        </w:rPr>
      </w:pPr>
      <w:r w:rsidRPr="00A57566">
        <w:rPr>
          <w:rFonts w:ascii="Tahoma" w:hAnsi="Tahoma"/>
          <w:b/>
          <w:sz w:val="24"/>
          <w:szCs w:val="24"/>
        </w:rPr>
        <w:t>Να καταργηθούν τα συνεχιζόμενα χαράτσια στις κρατήσεις</w:t>
      </w:r>
      <w:r>
        <w:rPr>
          <w:rFonts w:ascii="Tahoma" w:hAnsi="Tahoma"/>
          <w:sz w:val="24"/>
          <w:szCs w:val="24"/>
        </w:rPr>
        <w:t xml:space="preserve"> (1% υπέρ ΤΠΔΥ, 2% υπέρ Ταμείου Αλληλεγγύης, 1% έκτακτη εισφορά για όσους έχουν εισόδημα έως 20.000 και 2% για πάνω από 20.000).</w:t>
      </w:r>
    </w:p>
    <w:p w:rsidR="00ED269A" w:rsidRDefault="00ED269A" w:rsidP="00ED269A">
      <w:pPr>
        <w:spacing w:line="100" w:lineRule="atLeast"/>
        <w:rPr>
          <w:rFonts w:ascii="Tahoma" w:hAnsi="Tahoma"/>
          <w:sz w:val="24"/>
          <w:szCs w:val="24"/>
        </w:rPr>
      </w:pPr>
      <w:r>
        <w:rPr>
          <w:rFonts w:ascii="Tahoma" w:hAnsi="Tahoma"/>
          <w:sz w:val="24"/>
          <w:szCs w:val="24"/>
        </w:rPr>
        <w:t xml:space="preserve">Όχι στη σύνδεση μισθού με την λεγόμενη αποδοτικότητα και την “αξιολόγηση”. </w:t>
      </w:r>
    </w:p>
    <w:p w:rsidR="00D963A3" w:rsidRPr="00D963A3" w:rsidRDefault="00ED269A" w:rsidP="00ED269A">
      <w:pPr>
        <w:spacing w:line="100" w:lineRule="atLeast"/>
        <w:jc w:val="both"/>
        <w:rPr>
          <w:rFonts w:ascii="Tahoma" w:hAnsi="Tahoma"/>
          <w:sz w:val="24"/>
          <w:szCs w:val="24"/>
        </w:rPr>
      </w:pPr>
      <w:r>
        <w:rPr>
          <w:rFonts w:ascii="Tahoma" w:hAnsi="Tahoma"/>
          <w:sz w:val="24"/>
          <w:szCs w:val="24"/>
        </w:rPr>
        <w:t>Μόνιμη και σταθερή  δουλειά για όλους. Μόνιμοι διορισμοί για τη στελέχωση των Δημόσιων Τεχνικών Υπηρεσιών, κατάργηση των ελαστικών σχέσεων εργασίας, μονιμοποίηση των συμβασιούχων, ίσα δικαιώματα και ίση αμοιβή για όλους τους εργαζόμενους.</w:t>
      </w:r>
    </w:p>
    <w:p w:rsidR="00F41BAE" w:rsidRDefault="00F41BAE">
      <w:bookmarkStart w:id="0" w:name="_GoBack"/>
      <w:bookmarkEnd w:id="0"/>
    </w:p>
    <w:p w:rsidR="00F41BAE" w:rsidRDefault="00F41BAE"/>
    <w:p w:rsidR="00F41BAE" w:rsidRPr="0092679C" w:rsidRDefault="00A57566" w:rsidP="00A57566">
      <w:pPr>
        <w:ind w:left="360"/>
        <w:rPr>
          <w:b/>
        </w:rPr>
      </w:pPr>
      <w:r>
        <w:rPr>
          <w:noProof/>
          <w:lang w:eastAsia="el-GR"/>
        </w:rPr>
        <w:drawing>
          <wp:inline distT="0" distB="0" distL="0" distR="0">
            <wp:extent cx="6301105" cy="213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9653" b="11668"/>
                    <a:stretch>
                      <a:fillRect/>
                    </a:stretch>
                  </pic:blipFill>
                  <pic:spPr bwMode="auto">
                    <a:xfrm>
                      <a:off x="0" y="0"/>
                      <a:ext cx="6301105" cy="2137875"/>
                    </a:xfrm>
                    <a:prstGeom prst="rect">
                      <a:avLst/>
                    </a:prstGeom>
                    <a:solidFill>
                      <a:srgbClr val="FFFFFF"/>
                    </a:solidFill>
                    <a:ln>
                      <a:noFill/>
                    </a:ln>
                  </pic:spPr>
                </pic:pic>
              </a:graphicData>
            </a:graphic>
          </wp:inline>
        </w:drawing>
      </w:r>
    </w:p>
    <w:sectPr w:rsidR="00F41BAE" w:rsidRPr="0092679C" w:rsidSect="00D636A7">
      <w:pgSz w:w="11906" w:h="16838"/>
      <w:pgMar w:top="719" w:right="849" w:bottom="107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011D8"/>
    <w:multiLevelType w:val="hybridMultilevel"/>
    <w:tmpl w:val="8FF0731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1F914142"/>
    <w:multiLevelType w:val="hybridMultilevel"/>
    <w:tmpl w:val="2012D97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490634B7"/>
    <w:multiLevelType w:val="hybridMultilevel"/>
    <w:tmpl w:val="3FE6C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7F237B2"/>
    <w:multiLevelType w:val="hybridMultilevel"/>
    <w:tmpl w:val="2F32DBBE"/>
    <w:lvl w:ilvl="0" w:tplc="0FFA62B4">
      <w:start w:val="1"/>
      <w:numFmt w:val="decimal"/>
      <w:lvlText w:val="%1."/>
      <w:lvlJc w:val="left"/>
      <w:pPr>
        <w:ind w:left="720" w:hanging="360"/>
      </w:pPr>
      <w:rPr>
        <w:rFonts w:ascii="Tahoma" w:hAnsi="Tahoma" w:cs="Tahoma"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01D00AD"/>
    <w:multiLevelType w:val="hybridMultilevel"/>
    <w:tmpl w:val="2012D97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71B45A6C"/>
    <w:multiLevelType w:val="hybridMultilevel"/>
    <w:tmpl w:val="594A0064"/>
    <w:lvl w:ilvl="0" w:tplc="64AA24E0">
      <w:start w:val="1"/>
      <w:numFmt w:val="decimal"/>
      <w:lvlText w:val="%1."/>
      <w:lvlJc w:val="left"/>
      <w:pPr>
        <w:ind w:left="360" w:hanging="360"/>
      </w:pPr>
      <w:rPr>
        <w:rFonts w:cs="Times New Roman" w:hint="default"/>
        <w:b w:val="0"/>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F012A19"/>
    <w:multiLevelType w:val="hybridMultilevel"/>
    <w:tmpl w:val="6DF4B60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636A7"/>
    <w:rsid w:val="000443FB"/>
    <w:rsid w:val="00075556"/>
    <w:rsid w:val="00084AA5"/>
    <w:rsid w:val="00094B7E"/>
    <w:rsid w:val="0009794B"/>
    <w:rsid w:val="000B5D6B"/>
    <w:rsid w:val="000D4624"/>
    <w:rsid w:val="00106E6D"/>
    <w:rsid w:val="00183EA8"/>
    <w:rsid w:val="001A064D"/>
    <w:rsid w:val="001F523F"/>
    <w:rsid w:val="00213FDF"/>
    <w:rsid w:val="00274897"/>
    <w:rsid w:val="00283250"/>
    <w:rsid w:val="002D4C31"/>
    <w:rsid w:val="002E1503"/>
    <w:rsid w:val="002F5207"/>
    <w:rsid w:val="00301122"/>
    <w:rsid w:val="00312088"/>
    <w:rsid w:val="00314FA5"/>
    <w:rsid w:val="00385D70"/>
    <w:rsid w:val="003B7934"/>
    <w:rsid w:val="003F335E"/>
    <w:rsid w:val="003F6A43"/>
    <w:rsid w:val="004111F5"/>
    <w:rsid w:val="004317AA"/>
    <w:rsid w:val="00442477"/>
    <w:rsid w:val="004E7CE8"/>
    <w:rsid w:val="00510D32"/>
    <w:rsid w:val="00570874"/>
    <w:rsid w:val="005860C3"/>
    <w:rsid w:val="00595DF4"/>
    <w:rsid w:val="005C5693"/>
    <w:rsid w:val="005E45B7"/>
    <w:rsid w:val="00613415"/>
    <w:rsid w:val="00613AA9"/>
    <w:rsid w:val="00625B6E"/>
    <w:rsid w:val="00691E86"/>
    <w:rsid w:val="006F1B5A"/>
    <w:rsid w:val="00751865"/>
    <w:rsid w:val="00805DB6"/>
    <w:rsid w:val="00820371"/>
    <w:rsid w:val="008429EF"/>
    <w:rsid w:val="008D08EA"/>
    <w:rsid w:val="00903A4A"/>
    <w:rsid w:val="0092679C"/>
    <w:rsid w:val="00927431"/>
    <w:rsid w:val="0093445C"/>
    <w:rsid w:val="00940700"/>
    <w:rsid w:val="00943499"/>
    <w:rsid w:val="00966829"/>
    <w:rsid w:val="00970B07"/>
    <w:rsid w:val="009821F0"/>
    <w:rsid w:val="00986778"/>
    <w:rsid w:val="009A6572"/>
    <w:rsid w:val="009B5C84"/>
    <w:rsid w:val="00A23E9A"/>
    <w:rsid w:val="00A57566"/>
    <w:rsid w:val="00A83392"/>
    <w:rsid w:val="00AD7E3D"/>
    <w:rsid w:val="00AF4C91"/>
    <w:rsid w:val="00B37A09"/>
    <w:rsid w:val="00B46ABE"/>
    <w:rsid w:val="00B91676"/>
    <w:rsid w:val="00BB190C"/>
    <w:rsid w:val="00BB324D"/>
    <w:rsid w:val="00BE2B53"/>
    <w:rsid w:val="00C4276F"/>
    <w:rsid w:val="00C60376"/>
    <w:rsid w:val="00D04616"/>
    <w:rsid w:val="00D10510"/>
    <w:rsid w:val="00D3057F"/>
    <w:rsid w:val="00D47B4A"/>
    <w:rsid w:val="00D553E7"/>
    <w:rsid w:val="00D636A7"/>
    <w:rsid w:val="00D963A3"/>
    <w:rsid w:val="00DC4B96"/>
    <w:rsid w:val="00E132FA"/>
    <w:rsid w:val="00E37FFB"/>
    <w:rsid w:val="00ED269A"/>
    <w:rsid w:val="00F41BAE"/>
    <w:rsid w:val="00FA77DC"/>
    <w:rsid w:val="00FD724C"/>
    <w:rsid w:val="00FE5908"/>
    <w:rsid w:val="00FE74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B44E54-BE33-4E92-A6EA-EC5B755E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6A7"/>
    <w:rPr>
      <w:rFonts w:ascii="Times New Roman" w:eastAsia="Times New Roman" w:hAnsi="Times New Roman"/>
      <w:sz w:val="20"/>
      <w:szCs w:val="20"/>
      <w:lang w:eastAsia="en-US"/>
    </w:rPr>
  </w:style>
  <w:style w:type="paragraph" w:styleId="Heading4">
    <w:name w:val="heading 4"/>
    <w:basedOn w:val="Normal"/>
    <w:next w:val="Normal"/>
    <w:link w:val="Heading4Char"/>
    <w:uiPriority w:val="99"/>
    <w:qFormat/>
    <w:rsid w:val="00D636A7"/>
    <w:pPr>
      <w:keepNext/>
      <w:jc w:val="center"/>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D636A7"/>
    <w:rPr>
      <w:rFonts w:ascii="Times New Roman" w:hAnsi="Times New Roman" w:cs="Times New Roman"/>
      <w:b/>
      <w:sz w:val="20"/>
      <w:szCs w:val="20"/>
    </w:rPr>
  </w:style>
  <w:style w:type="paragraph" w:styleId="BodyTextIndent">
    <w:name w:val="Body Text Indent"/>
    <w:basedOn w:val="Normal"/>
    <w:link w:val="BodyTextIndentChar"/>
    <w:uiPriority w:val="99"/>
    <w:rsid w:val="00D636A7"/>
    <w:pPr>
      <w:ind w:firstLine="720"/>
    </w:pPr>
    <w:rPr>
      <w:rFonts w:ascii="Arial" w:hAnsi="Arial"/>
      <w:sz w:val="24"/>
    </w:rPr>
  </w:style>
  <w:style w:type="character" w:customStyle="1" w:styleId="BodyTextIndentChar">
    <w:name w:val="Body Text Indent Char"/>
    <w:basedOn w:val="DefaultParagraphFont"/>
    <w:link w:val="BodyTextIndent"/>
    <w:uiPriority w:val="99"/>
    <w:locked/>
    <w:rsid w:val="00D636A7"/>
    <w:rPr>
      <w:rFonts w:ascii="Arial" w:hAnsi="Arial" w:cs="Times New Roman"/>
      <w:sz w:val="20"/>
      <w:szCs w:val="20"/>
    </w:rPr>
  </w:style>
  <w:style w:type="character" w:styleId="Hyperlink">
    <w:name w:val="Hyperlink"/>
    <w:basedOn w:val="DefaultParagraphFont"/>
    <w:uiPriority w:val="99"/>
    <w:rsid w:val="00D636A7"/>
    <w:rPr>
      <w:rFonts w:cs="Times New Roman"/>
      <w:color w:val="0000FF"/>
      <w:u w:val="single"/>
    </w:rPr>
  </w:style>
  <w:style w:type="paragraph" w:styleId="ListParagraph">
    <w:name w:val="List Paragraph"/>
    <w:basedOn w:val="Normal"/>
    <w:uiPriority w:val="99"/>
    <w:qFormat/>
    <w:rsid w:val="00613415"/>
    <w:pPr>
      <w:ind w:left="720"/>
      <w:contextualSpacing/>
    </w:pPr>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dydas.gr/images/stories/news/2018/23.1.2018_asfalistikes_kratiseis_7269.docx" TargetMode="External"/><Relationship Id="rId3" Type="http://schemas.openxmlformats.org/officeDocument/2006/relationships/settings" Target="settings.xml"/><Relationship Id="rId7" Type="http://schemas.openxmlformats.org/officeDocument/2006/relationships/hyperlink" Target="https://diavgeia.gov.gr/doc/695%CE%9F%CE%97-%CE%96%CE%98%CE%9C?inline=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dydas.gr" TargetMode="External"/><Relationship Id="rId11" Type="http://schemas.openxmlformats.org/officeDocument/2006/relationships/fontTable" Target="fontTable.xml"/><Relationship Id="rId5" Type="http://schemas.openxmlformats.org/officeDocument/2006/relationships/hyperlink" Target="mailto:emdydas@tee.gr"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emdydas.gr/images/stories/news/2018/2.2.2018_misthologiki_ypovathmisi_728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862</Words>
  <Characters>4655</Characters>
  <Application>Microsoft Office Word</Application>
  <DocSecurity>0</DocSecurity>
  <Lines>38</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vt:lpstr>
      <vt:lpstr>Π</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dc:title>
  <dc:creator>Χρήστης των Windows</dc:creator>
  <cp:lastModifiedBy>user</cp:lastModifiedBy>
  <cp:revision>8</cp:revision>
  <dcterms:created xsi:type="dcterms:W3CDTF">2018-02-13T08:11:00Z</dcterms:created>
  <dcterms:modified xsi:type="dcterms:W3CDTF">2018-02-14T12:02:00Z</dcterms:modified>
</cp:coreProperties>
</file>